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35020520" w14:textId="377AE480" w:rsidR="00052C56" w:rsidRPr="0085622D" w:rsidRDefault="00F4022E" w:rsidP="00803EB2">
      <w:pPr>
        <w:pStyle w:val="Nadpis1"/>
        <w:rPr>
          <w:rFonts w:cs="Open Sans"/>
        </w:rPr>
      </w:pPr>
      <w:r w:rsidRPr="00F4022E">
        <w:rPr>
          <w:rFonts w:cs="Open Sans"/>
        </w:rPr>
        <w:t>Životní pojištění bez lékařských otázek pomáhá lidem s</w:t>
      </w:r>
      <w:r w:rsidR="00ED577A">
        <w:rPr>
          <w:rFonts w:cs="Open Sans"/>
        </w:rPr>
        <w:t> </w:t>
      </w:r>
      <w:r w:rsidRPr="00F4022E">
        <w:rPr>
          <w:rFonts w:cs="Open Sans"/>
        </w:rPr>
        <w:t>nemocemi získat ochranu</w:t>
      </w:r>
    </w:p>
    <w:p w14:paraId="560E6127" w14:textId="66626FE6" w:rsidR="00B900E8" w:rsidRDefault="00581AC6" w:rsidP="00567FA0">
      <w:pPr>
        <w:rPr>
          <w:rFonts w:cs="Open Sans"/>
          <w:b/>
          <w:bCs/>
        </w:rPr>
      </w:pPr>
      <w:r>
        <w:rPr>
          <w:rFonts w:cs="Open Sans"/>
          <w:b/>
          <w:bCs/>
        </w:rPr>
        <w:t xml:space="preserve">Praha </w:t>
      </w:r>
      <w:r w:rsidR="00E66151">
        <w:rPr>
          <w:rFonts w:cs="Open Sans"/>
          <w:b/>
          <w:bCs/>
        </w:rPr>
        <w:t>2</w:t>
      </w:r>
      <w:r w:rsidR="00645879">
        <w:rPr>
          <w:rFonts w:cs="Open Sans"/>
          <w:b/>
          <w:bCs/>
        </w:rPr>
        <w:t>0</w:t>
      </w:r>
      <w:r>
        <w:rPr>
          <w:rFonts w:cs="Open Sans"/>
          <w:b/>
          <w:bCs/>
        </w:rPr>
        <w:t xml:space="preserve">. </w:t>
      </w:r>
      <w:r w:rsidR="009C433A">
        <w:rPr>
          <w:rFonts w:cs="Open Sans"/>
          <w:b/>
          <w:bCs/>
        </w:rPr>
        <w:t>května</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567FA0" w:rsidRPr="00567FA0">
        <w:rPr>
          <w:rFonts w:cs="Open Sans"/>
          <w:b/>
          <w:bCs/>
        </w:rPr>
        <w:t xml:space="preserve">Životní pojištění bez zkoumání zdravotního stavu nabízí řešení lidem, kteří </w:t>
      </w:r>
      <w:r w:rsidR="005D3C12" w:rsidRPr="005D3C12">
        <w:rPr>
          <w:rFonts w:cs="Open Sans"/>
          <w:b/>
          <w:bCs/>
        </w:rPr>
        <w:t>kvůli svému zdravotnímu stavu nebo předchozím diagnózám</w:t>
      </w:r>
      <w:r w:rsidR="005D3C12">
        <w:rPr>
          <w:rFonts w:cs="Open Sans"/>
          <w:b/>
          <w:bCs/>
        </w:rPr>
        <w:t xml:space="preserve"> </w:t>
      </w:r>
      <w:r w:rsidR="00567FA0" w:rsidRPr="00567FA0">
        <w:rPr>
          <w:rFonts w:cs="Open Sans"/>
          <w:b/>
          <w:bCs/>
        </w:rPr>
        <w:t>nemohou získat standardní poji</w:t>
      </w:r>
      <w:r w:rsidR="00217BE6">
        <w:rPr>
          <w:rFonts w:cs="Open Sans"/>
          <w:b/>
          <w:bCs/>
        </w:rPr>
        <w:t>štění</w:t>
      </w:r>
      <w:r w:rsidR="00567FA0" w:rsidRPr="00567FA0">
        <w:rPr>
          <w:rFonts w:cs="Open Sans"/>
          <w:b/>
          <w:bCs/>
        </w:rPr>
        <w:t>.</w:t>
      </w:r>
      <w:r w:rsidR="00B900E8">
        <w:rPr>
          <w:rFonts w:cs="Open Sans"/>
          <w:b/>
          <w:bCs/>
        </w:rPr>
        <w:t xml:space="preserve"> </w:t>
      </w:r>
      <w:r w:rsidR="00B900E8" w:rsidRPr="00B900E8">
        <w:rPr>
          <w:rFonts w:cs="Open Sans"/>
          <w:b/>
          <w:bCs/>
        </w:rPr>
        <w:t>Zároveň je řešením i pro ty, kterým zdravotní omezení navyšují cenu standardní pojistky natolik, že si ji nemohou finančně dovolit.</w:t>
      </w:r>
      <w:r w:rsidR="00567FA0" w:rsidRPr="00567FA0">
        <w:rPr>
          <w:rFonts w:cs="Open Sans"/>
          <w:b/>
          <w:bCs/>
        </w:rPr>
        <w:t xml:space="preserve"> </w:t>
      </w:r>
      <w:r w:rsidR="00B900E8" w:rsidRPr="00B900E8">
        <w:rPr>
          <w:rFonts w:cs="Open Sans"/>
          <w:b/>
          <w:bCs/>
        </w:rPr>
        <w:t xml:space="preserve">Přestože tento typ pojištění nabízí zpravidla nižší limity plnění, poskytuje alespoň základní ochranu v případě úrazu či nemoci a může </w:t>
      </w:r>
      <w:r w:rsidR="00485C48">
        <w:rPr>
          <w:rFonts w:cs="Open Sans"/>
          <w:b/>
          <w:bCs/>
        </w:rPr>
        <w:t xml:space="preserve">tak </w:t>
      </w:r>
      <w:r w:rsidR="00B900E8" w:rsidRPr="00B900E8">
        <w:rPr>
          <w:rFonts w:cs="Open Sans"/>
          <w:b/>
          <w:bCs/>
        </w:rPr>
        <w:t>být dostupnou volbou</w:t>
      </w:r>
      <w:r w:rsidR="00485C48">
        <w:rPr>
          <w:rFonts w:cs="Open Sans"/>
          <w:b/>
          <w:bCs/>
        </w:rPr>
        <w:t>.</w:t>
      </w:r>
    </w:p>
    <w:p w14:paraId="63E80C34" w14:textId="4A97D48D" w:rsidR="00676B63" w:rsidRPr="00567FA0" w:rsidRDefault="00676B63" w:rsidP="00567FA0">
      <w:pPr>
        <w:rPr>
          <w:rFonts w:cs="Open Sans"/>
        </w:rPr>
      </w:pPr>
      <w:r w:rsidRPr="00676B63">
        <w:rPr>
          <w:rFonts w:cs="Open Sans"/>
        </w:rPr>
        <w:t xml:space="preserve">Při sjednávání životního pojištění bývá běžnou praxí vyplnění zdravotního dotazníku, podle kterého pojišťovna posuzuje zdravotní stav klienta a míru rizika. Pokud z předložených údajů vyplyne, že zdravotní anamnéza klienta představuje zvýšené riziko, může pojišťovna navrhnout vyšší pojistné, vyloučit </w:t>
      </w:r>
      <w:r w:rsidR="006E2CB7">
        <w:rPr>
          <w:rFonts w:cs="Open Sans"/>
        </w:rPr>
        <w:t xml:space="preserve">z pojištění </w:t>
      </w:r>
      <w:r w:rsidRPr="00676B63">
        <w:rPr>
          <w:rFonts w:cs="Open Sans"/>
        </w:rPr>
        <w:t>některá rizika, nebo dokonce odmítnout klienta pojistit.</w:t>
      </w:r>
    </w:p>
    <w:p w14:paraId="021757F4" w14:textId="2ECC58E9" w:rsidR="00567FA0" w:rsidRDefault="004A35C4" w:rsidP="00567FA0">
      <w:pPr>
        <w:rPr>
          <w:rFonts w:cs="Open Sans"/>
        </w:rPr>
      </w:pPr>
      <w:r>
        <w:rPr>
          <w:rFonts w:cs="Open Sans"/>
          <w:noProof/>
        </w:rPr>
        <w:drawing>
          <wp:anchor distT="0" distB="0" distL="114300" distR="114300" simplePos="0" relativeHeight="251666432" behindDoc="0" locked="0" layoutInCell="1" allowOverlap="1" wp14:anchorId="4BE5DC52" wp14:editId="481E28EB">
            <wp:simplePos x="0" y="0"/>
            <wp:positionH relativeFrom="margin">
              <wp:align>center</wp:align>
            </wp:positionH>
            <wp:positionV relativeFrom="paragraph">
              <wp:posOffset>1158875</wp:posOffset>
            </wp:positionV>
            <wp:extent cx="5400675" cy="4050030"/>
            <wp:effectExtent l="0" t="0" r="9525" b="7620"/>
            <wp:wrapTopAndBottom/>
            <wp:docPr id="7984050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4050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FA0" w:rsidRPr="00682902">
        <w:rPr>
          <w:rFonts w:cs="Open Sans"/>
          <w:i/>
          <w:iCs/>
        </w:rPr>
        <w:t>„</w:t>
      </w:r>
      <w:r w:rsidR="006F64EE" w:rsidRPr="006F64EE">
        <w:rPr>
          <w:rFonts w:cs="Open Sans"/>
          <w:i/>
          <w:iCs/>
        </w:rPr>
        <w:t>Pro mnoho lidí s běžnými příjmy může být obtížné najít vhodné pojištění, pokud jejich zdravotní stav zvyšuje riziko odmítnutí nebo výrazného zdražení. I proto je dobré vědět, že existují možnosti životního pojištění bez zkoumání zdravotního stavu, které mohou nabídnout alespoň základní ochranu</w:t>
      </w:r>
      <w:r w:rsidR="00567FA0" w:rsidRPr="00682902">
        <w:rPr>
          <w:rFonts w:cs="Open Sans"/>
          <w:i/>
          <w:iCs/>
        </w:rPr>
        <w:t>,“</w:t>
      </w:r>
      <w:r w:rsidR="00567FA0" w:rsidRPr="00567FA0">
        <w:rPr>
          <w:rFonts w:cs="Open Sans"/>
        </w:rPr>
        <w:t xml:space="preserve"> upozorňuje Petr Motáček, pojišťovací specialista ze společnosti FinGO.</w:t>
      </w:r>
    </w:p>
    <w:p w14:paraId="15EDA472" w14:textId="78F7B5DF" w:rsidR="00567FA0" w:rsidRPr="00567FA0" w:rsidRDefault="00567FA0" w:rsidP="00567FA0">
      <w:pPr>
        <w:rPr>
          <w:rFonts w:cs="Open Sans"/>
        </w:rPr>
      </w:pPr>
      <w:r w:rsidRPr="00567FA0">
        <w:rPr>
          <w:rFonts w:cs="Open Sans"/>
        </w:rPr>
        <w:lastRenderedPageBreak/>
        <w:t>Tento typ pojištění je určen především lidem, kteří kvůli svému zdravotnímu stavu nemají šanci projít standardním zdravotním prověřením, přesto si ale uvědomují další rizika – například úrazy či závažná onemocnění bez přímé souvislosti s jejich již diagnostikovanou nemocí.</w:t>
      </w:r>
    </w:p>
    <w:p w14:paraId="7B817B89" w14:textId="44CFBC2C" w:rsidR="00123A82" w:rsidRDefault="00567FA0" w:rsidP="00567FA0">
      <w:pPr>
        <w:rPr>
          <w:rFonts w:cs="Open Sans"/>
        </w:rPr>
      </w:pPr>
      <w:r w:rsidRPr="00F5204E">
        <w:rPr>
          <w:rFonts w:cs="Open Sans"/>
          <w:i/>
          <w:iCs/>
        </w:rPr>
        <w:t xml:space="preserve">„Je potřeba </w:t>
      </w:r>
      <w:r w:rsidR="009045F1">
        <w:rPr>
          <w:rFonts w:cs="Open Sans"/>
          <w:i/>
          <w:iCs/>
        </w:rPr>
        <w:t>nezapomenout</w:t>
      </w:r>
      <w:r w:rsidRPr="00F5204E">
        <w:rPr>
          <w:rFonts w:cs="Open Sans"/>
          <w:i/>
          <w:iCs/>
        </w:rPr>
        <w:t>, že pojištění bez zkoumání zdravotního stavu obvykle pokrývá jen určitá rizika – nejčastěji úraz, trvalé následky, denní odškodné nebo hospitalizaci. Výjimkou je například produkt Kooperativy, který nabízí širší krytí včetně nemocí,“</w:t>
      </w:r>
      <w:r w:rsidRPr="00567FA0">
        <w:rPr>
          <w:rFonts w:cs="Open Sans"/>
        </w:rPr>
        <w:t xml:space="preserve"> vysvětluje Petr Motáček.</w:t>
      </w:r>
    </w:p>
    <w:p w14:paraId="673A4229" w14:textId="09C775A4" w:rsidR="00B13FF9" w:rsidRPr="00567FA0" w:rsidRDefault="00123A82" w:rsidP="00567FA0">
      <w:pPr>
        <w:rPr>
          <w:rFonts w:cs="Open Sans"/>
        </w:rPr>
      </w:pPr>
      <w:r>
        <w:rPr>
          <w:rFonts w:cs="Open Sans"/>
        </w:rPr>
        <w:t xml:space="preserve">Zajímavou variantou může být i skupinové životní pojištění od MetLife, které firmy sjednávají svým zaměstnancům. </w:t>
      </w:r>
      <w:r w:rsidR="009E633E">
        <w:rPr>
          <w:rFonts w:cs="Open Sans"/>
        </w:rPr>
        <w:t>Nejenom že pojistné hradí zaměstnavatel</w:t>
      </w:r>
      <w:r w:rsidR="00E428FE">
        <w:rPr>
          <w:rFonts w:cs="Open Sans"/>
        </w:rPr>
        <w:t xml:space="preserve"> a zaměstnanci </w:t>
      </w:r>
      <w:r w:rsidR="00E428FE" w:rsidRPr="00E428FE">
        <w:rPr>
          <w:rFonts w:cs="Open Sans"/>
        </w:rPr>
        <w:t>získávají výrazně lepší podmínky než v individuální smlouvě</w:t>
      </w:r>
      <w:r w:rsidR="009E633E">
        <w:rPr>
          <w:rFonts w:cs="Open Sans"/>
        </w:rPr>
        <w:t>, ale p</w:t>
      </w:r>
      <w:r>
        <w:rPr>
          <w:rFonts w:cs="Open Sans"/>
        </w:rPr>
        <w:t xml:space="preserve">ři sjednávání pro skupinu </w:t>
      </w:r>
      <w:r w:rsidR="00BE0841">
        <w:rPr>
          <w:rFonts w:cs="Open Sans"/>
        </w:rPr>
        <w:t xml:space="preserve">deseti a více </w:t>
      </w:r>
      <w:r>
        <w:rPr>
          <w:rFonts w:cs="Open Sans"/>
        </w:rPr>
        <w:t>osob se jejich zdravotní stav neposuzuje.</w:t>
      </w:r>
    </w:p>
    <w:p w14:paraId="14F22E68" w14:textId="7CC9CFA8" w:rsidR="00585A8C" w:rsidRPr="00567FA0" w:rsidRDefault="0060368E" w:rsidP="00567FA0">
      <w:pPr>
        <w:rPr>
          <w:rFonts w:cs="Open Sans"/>
        </w:rPr>
      </w:pPr>
      <w:r>
        <w:rPr>
          <w:rFonts w:cs="Open Sans"/>
        </w:rPr>
        <w:t>Životní pojištění bez zkoumání zdravotního stavu</w:t>
      </w:r>
      <w:r w:rsidR="00585A8C" w:rsidRPr="00585A8C">
        <w:rPr>
          <w:rFonts w:cs="Open Sans"/>
        </w:rPr>
        <w:t xml:space="preserve"> j</w:t>
      </w:r>
      <w:r>
        <w:rPr>
          <w:rFonts w:cs="Open Sans"/>
        </w:rPr>
        <w:t>e</w:t>
      </w:r>
      <w:r w:rsidR="00585A8C" w:rsidRPr="00585A8C">
        <w:rPr>
          <w:rFonts w:cs="Open Sans"/>
        </w:rPr>
        <w:t xml:space="preserve"> vhodn</w:t>
      </w:r>
      <w:r>
        <w:rPr>
          <w:rFonts w:cs="Open Sans"/>
        </w:rPr>
        <w:t>é</w:t>
      </w:r>
      <w:r w:rsidR="00585A8C" w:rsidRPr="00585A8C">
        <w:rPr>
          <w:rFonts w:cs="Open Sans"/>
        </w:rPr>
        <w:t xml:space="preserve"> pro lidi, kteří sice trpí určitým onemocněním, ale jejich zdravotní stav není tak vážný, aby jim byl přiznán invalidní důchod. Přesto však kvůli svým diagnózám narážejí na problémy při sjednání běžného pojištění. Je však důležité vědět, že pojišťovna nebude plnit pojistné události, které přímo souvisejí s nemocemi vzniklými před uzavřením smlouvy.</w:t>
      </w:r>
      <w:r w:rsidR="00BD72B2">
        <w:rPr>
          <w:rFonts w:cs="Open Sans"/>
        </w:rPr>
        <w:t xml:space="preserve"> </w:t>
      </w:r>
      <w:r w:rsidR="00BD72B2" w:rsidRPr="00BD72B2">
        <w:rPr>
          <w:rFonts w:cs="Open Sans"/>
        </w:rPr>
        <w:t xml:space="preserve">Navíc, pokud již pojišťovna vede o klientovi nějaký zdravotní záznam, klient </w:t>
      </w:r>
      <w:r w:rsidR="00BD72B2">
        <w:rPr>
          <w:rFonts w:cs="Open Sans"/>
        </w:rPr>
        <w:t>u ní</w:t>
      </w:r>
      <w:r w:rsidR="00BD72B2" w:rsidRPr="00BD72B2">
        <w:rPr>
          <w:rFonts w:cs="Open Sans"/>
        </w:rPr>
        <w:t xml:space="preserve"> má </w:t>
      </w:r>
      <w:r w:rsidR="00BD72B2">
        <w:rPr>
          <w:rFonts w:cs="Open Sans"/>
        </w:rPr>
        <w:t>například</w:t>
      </w:r>
      <w:r w:rsidR="00BD72B2" w:rsidRPr="00BD72B2">
        <w:rPr>
          <w:rFonts w:cs="Open Sans"/>
        </w:rPr>
        <w:t xml:space="preserve"> historicky nějakou smlouvu, tak ho bez zdravotního zkoumání </w:t>
      </w:r>
      <w:r w:rsidR="000C1F47" w:rsidRPr="00BD72B2">
        <w:rPr>
          <w:rFonts w:cs="Open Sans"/>
        </w:rPr>
        <w:t>nepřijme</w:t>
      </w:r>
      <w:r w:rsidR="00BD72B2" w:rsidRPr="00BD72B2">
        <w:rPr>
          <w:rFonts w:cs="Open Sans"/>
        </w:rPr>
        <w:t>.</w:t>
      </w:r>
    </w:p>
    <w:p w14:paraId="07E20127" w14:textId="6610D81A" w:rsidR="00567FA0" w:rsidRPr="00567FA0" w:rsidRDefault="00567FA0" w:rsidP="00567FA0">
      <w:pPr>
        <w:rPr>
          <w:rFonts w:cs="Open Sans"/>
        </w:rPr>
      </w:pPr>
      <w:r w:rsidRPr="00F5204E">
        <w:rPr>
          <w:rFonts w:cs="Open Sans"/>
          <w:i/>
          <w:iCs/>
        </w:rPr>
        <w:t xml:space="preserve">„Při výběru vhodného pojištění je klíčové obrátit se na odborníky, kteří mají přehled nejen o cenách, ale i o podmínkách, výlukách a dalších nástrahách pojistných produktů. </w:t>
      </w:r>
      <w:r w:rsidR="00F5204E">
        <w:rPr>
          <w:rFonts w:cs="Open Sans"/>
          <w:i/>
          <w:iCs/>
        </w:rPr>
        <w:t>Poradci FinGO</w:t>
      </w:r>
      <w:r w:rsidRPr="00F5204E">
        <w:rPr>
          <w:rFonts w:cs="Open Sans"/>
          <w:i/>
          <w:iCs/>
        </w:rPr>
        <w:t xml:space="preserve"> nabízí objektivní srovnání, které zohlední individuální potřeby každého klienta,“</w:t>
      </w:r>
      <w:r w:rsidRPr="00567FA0">
        <w:rPr>
          <w:rFonts w:cs="Open Sans"/>
        </w:rPr>
        <w:t xml:space="preserve"> dodává Petr Motáček.</w:t>
      </w:r>
    </w:p>
    <w:p w14:paraId="37367107" w14:textId="6DDE6DA6" w:rsidR="00662DD9" w:rsidRPr="00662DD9" w:rsidRDefault="00567FA0" w:rsidP="00567FA0">
      <w:pPr>
        <w:rPr>
          <w:rFonts w:cs="Open Sans"/>
        </w:rPr>
      </w:pPr>
      <w:r w:rsidRPr="00567FA0">
        <w:rPr>
          <w:rFonts w:cs="Open Sans"/>
        </w:rPr>
        <w:t>Životní pojištění je nástrojem, který pomáhá překonat období snížených příjmů v</w:t>
      </w:r>
      <w:r w:rsidR="001B3538">
        <w:rPr>
          <w:rFonts w:cs="Open Sans"/>
        </w:rPr>
        <w:t> </w:t>
      </w:r>
      <w:r w:rsidRPr="00567FA0">
        <w:rPr>
          <w:rFonts w:cs="Open Sans"/>
        </w:rPr>
        <w:t xml:space="preserve">důsledku úrazu či nemoci. Proto by jeho výběr neměl být podceněn – i pro klienty, kteří standardní zdravotní prověrkou </w:t>
      </w:r>
      <w:r w:rsidR="00585A8C">
        <w:rPr>
          <w:rFonts w:cs="Open Sans"/>
        </w:rPr>
        <w:t>nemohou projít</w:t>
      </w:r>
      <w:r w:rsidRPr="00567FA0">
        <w:rPr>
          <w:rFonts w:cs="Open Sans"/>
        </w:rPr>
        <w:t>, existují rozumná řešení.</w:t>
      </w:r>
    </w:p>
    <w:p w14:paraId="745BB430" w14:textId="6C9E3B86" w:rsidR="00662DD9" w:rsidRPr="00662DD9" w:rsidRDefault="00662DD9" w:rsidP="00C00401">
      <w:pPr>
        <w:rPr>
          <w:rFonts w:cs="Open Sans"/>
        </w:rPr>
      </w:pPr>
    </w:p>
    <w:p w14:paraId="57CEC546" w14:textId="0D5E82D6" w:rsidR="00712072" w:rsidRPr="007622A0" w:rsidRDefault="005D48A0" w:rsidP="00C00401">
      <w:pPr>
        <w:rPr>
          <w:rFonts w:cs="Open Sans"/>
          <w:b/>
          <w:bCs/>
        </w:rPr>
      </w:pPr>
      <w:r>
        <w:rPr>
          <w:rFonts w:cs="Open Sans"/>
          <w:noProof/>
        </w:rPr>
        <w:drawing>
          <wp:anchor distT="0" distB="0" distL="114300" distR="114300" simplePos="0" relativeHeight="251667456" behindDoc="0" locked="0" layoutInCell="1" allowOverlap="1" wp14:anchorId="40DA8ED9" wp14:editId="696BA823">
            <wp:simplePos x="0" y="0"/>
            <wp:positionH relativeFrom="margin">
              <wp:align>center</wp:align>
            </wp:positionH>
            <wp:positionV relativeFrom="paragraph">
              <wp:posOffset>-323850</wp:posOffset>
            </wp:positionV>
            <wp:extent cx="4219575" cy="3164681"/>
            <wp:effectExtent l="0" t="0" r="0" b="0"/>
            <wp:wrapSquare wrapText="bothSides"/>
            <wp:docPr id="13668666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66652" name="Obrázek 13668666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9575" cy="3164681"/>
                    </a:xfrm>
                    <a:prstGeom prst="rect">
                      <a:avLst/>
                    </a:prstGeom>
                  </pic:spPr>
                </pic:pic>
              </a:graphicData>
            </a:graphic>
            <wp14:sizeRelH relativeFrom="margin">
              <wp14:pctWidth>0</wp14:pctWidth>
            </wp14:sizeRelH>
            <wp14:sizeRelV relativeFrom="margin">
              <wp14:pctHeight>0</wp14:pctHeight>
            </wp14:sizeRelV>
          </wp:anchor>
        </w:drawing>
      </w:r>
      <w:r w:rsidR="00B13FF9">
        <w:rPr>
          <w:rFonts w:cs="Open Sans"/>
          <w:b/>
          <w:bCs/>
          <w:i/>
          <w:iCs/>
          <w:sz w:val="20"/>
          <w:szCs w:val="20"/>
        </w:rPr>
        <w:br w:type="column"/>
      </w:r>
      <w:r w:rsidR="00712072" w:rsidRPr="007622A0">
        <w:rPr>
          <w:rFonts w:cs="Open Sans"/>
          <w:b/>
          <w:bCs/>
          <w:i/>
          <w:iCs/>
          <w:sz w:val="20"/>
          <w:szCs w:val="20"/>
        </w:rPr>
        <w:lastRenderedPageBreak/>
        <w:t>O společnosti FinGO:</w:t>
      </w:r>
    </w:p>
    <w:p w14:paraId="3272E8CB" w14:textId="309EF551"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63</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sectPr w:rsidR="0096059C" w:rsidRPr="0085622D">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69F56" w14:textId="77777777" w:rsidR="001D24B7" w:rsidRDefault="001D24B7" w:rsidP="00C00401">
      <w:r>
        <w:separator/>
      </w:r>
    </w:p>
  </w:endnote>
  <w:endnote w:type="continuationSeparator" w:id="0">
    <w:p w14:paraId="7CFA468F" w14:textId="77777777" w:rsidR="001D24B7" w:rsidRDefault="001D24B7"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F153" w14:textId="77777777" w:rsidR="001D24B7" w:rsidRDefault="001D24B7" w:rsidP="00C00401">
      <w:r>
        <w:separator/>
      </w:r>
    </w:p>
  </w:footnote>
  <w:footnote w:type="continuationSeparator" w:id="0">
    <w:p w14:paraId="064EF3DE" w14:textId="77777777" w:rsidR="001D24B7" w:rsidRDefault="001D24B7"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66FB"/>
    <w:rsid w:val="00016F51"/>
    <w:rsid w:val="000177F2"/>
    <w:rsid w:val="000232BB"/>
    <w:rsid w:val="00027827"/>
    <w:rsid w:val="00030C15"/>
    <w:rsid w:val="00031FAB"/>
    <w:rsid w:val="00032B9B"/>
    <w:rsid w:val="0003572F"/>
    <w:rsid w:val="00035827"/>
    <w:rsid w:val="000370E4"/>
    <w:rsid w:val="00041CF6"/>
    <w:rsid w:val="0004389E"/>
    <w:rsid w:val="000442A5"/>
    <w:rsid w:val="000460C4"/>
    <w:rsid w:val="00046406"/>
    <w:rsid w:val="00046FCB"/>
    <w:rsid w:val="000514DD"/>
    <w:rsid w:val="00052C56"/>
    <w:rsid w:val="00055DF8"/>
    <w:rsid w:val="00055FE9"/>
    <w:rsid w:val="000611AF"/>
    <w:rsid w:val="000625FE"/>
    <w:rsid w:val="00063A45"/>
    <w:rsid w:val="00065953"/>
    <w:rsid w:val="000662C5"/>
    <w:rsid w:val="00072048"/>
    <w:rsid w:val="000725B0"/>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6269"/>
    <w:rsid w:val="000C1F47"/>
    <w:rsid w:val="000C32FA"/>
    <w:rsid w:val="000C4389"/>
    <w:rsid w:val="000D5103"/>
    <w:rsid w:val="000D6645"/>
    <w:rsid w:val="000D6A46"/>
    <w:rsid w:val="000D6D02"/>
    <w:rsid w:val="000E0245"/>
    <w:rsid w:val="000E0D1B"/>
    <w:rsid w:val="000E157E"/>
    <w:rsid w:val="000E2A8F"/>
    <w:rsid w:val="000E6A0D"/>
    <w:rsid w:val="000F2B58"/>
    <w:rsid w:val="000F3C52"/>
    <w:rsid w:val="0010033D"/>
    <w:rsid w:val="00100EF2"/>
    <w:rsid w:val="00103C5D"/>
    <w:rsid w:val="00114A22"/>
    <w:rsid w:val="00123A82"/>
    <w:rsid w:val="00123CBB"/>
    <w:rsid w:val="0012633D"/>
    <w:rsid w:val="00126A40"/>
    <w:rsid w:val="00126CAB"/>
    <w:rsid w:val="001349B3"/>
    <w:rsid w:val="00136991"/>
    <w:rsid w:val="00140D71"/>
    <w:rsid w:val="00141266"/>
    <w:rsid w:val="00141690"/>
    <w:rsid w:val="00145A00"/>
    <w:rsid w:val="001529F1"/>
    <w:rsid w:val="00154E66"/>
    <w:rsid w:val="00155502"/>
    <w:rsid w:val="00160E3C"/>
    <w:rsid w:val="00161442"/>
    <w:rsid w:val="00161DEA"/>
    <w:rsid w:val="00163105"/>
    <w:rsid w:val="001653DF"/>
    <w:rsid w:val="001665F9"/>
    <w:rsid w:val="00166AF9"/>
    <w:rsid w:val="001671B0"/>
    <w:rsid w:val="00170800"/>
    <w:rsid w:val="001710AF"/>
    <w:rsid w:val="0017134D"/>
    <w:rsid w:val="001726F3"/>
    <w:rsid w:val="00172E17"/>
    <w:rsid w:val="00180E6A"/>
    <w:rsid w:val="001842E5"/>
    <w:rsid w:val="001876D3"/>
    <w:rsid w:val="0019024B"/>
    <w:rsid w:val="001946FC"/>
    <w:rsid w:val="001A0D25"/>
    <w:rsid w:val="001A1292"/>
    <w:rsid w:val="001A1D0A"/>
    <w:rsid w:val="001A2107"/>
    <w:rsid w:val="001A21A3"/>
    <w:rsid w:val="001B3538"/>
    <w:rsid w:val="001B4EA0"/>
    <w:rsid w:val="001C1F70"/>
    <w:rsid w:val="001C434C"/>
    <w:rsid w:val="001C7341"/>
    <w:rsid w:val="001D24B7"/>
    <w:rsid w:val="001D4EB5"/>
    <w:rsid w:val="001D588D"/>
    <w:rsid w:val="001D598E"/>
    <w:rsid w:val="001E080B"/>
    <w:rsid w:val="001E1289"/>
    <w:rsid w:val="001E302B"/>
    <w:rsid w:val="001E30CC"/>
    <w:rsid w:val="001E6AB9"/>
    <w:rsid w:val="001E6F3F"/>
    <w:rsid w:val="001E7717"/>
    <w:rsid w:val="001F250E"/>
    <w:rsid w:val="001F44D8"/>
    <w:rsid w:val="002049BE"/>
    <w:rsid w:val="00204ED4"/>
    <w:rsid w:val="00207B4D"/>
    <w:rsid w:val="00211D63"/>
    <w:rsid w:val="00213ED1"/>
    <w:rsid w:val="00215E72"/>
    <w:rsid w:val="00217BE6"/>
    <w:rsid w:val="00217E22"/>
    <w:rsid w:val="00221487"/>
    <w:rsid w:val="0022158E"/>
    <w:rsid w:val="00222C93"/>
    <w:rsid w:val="00224B01"/>
    <w:rsid w:val="002303EC"/>
    <w:rsid w:val="00233E02"/>
    <w:rsid w:val="00234369"/>
    <w:rsid w:val="002344D8"/>
    <w:rsid w:val="00234D95"/>
    <w:rsid w:val="002379C0"/>
    <w:rsid w:val="00241F37"/>
    <w:rsid w:val="00245AAA"/>
    <w:rsid w:val="00251351"/>
    <w:rsid w:val="00257F3E"/>
    <w:rsid w:val="00260F8F"/>
    <w:rsid w:val="00261CA3"/>
    <w:rsid w:val="00263614"/>
    <w:rsid w:val="002639B4"/>
    <w:rsid w:val="00274D60"/>
    <w:rsid w:val="00276C6C"/>
    <w:rsid w:val="00276F7D"/>
    <w:rsid w:val="002772E1"/>
    <w:rsid w:val="00280C2B"/>
    <w:rsid w:val="00284142"/>
    <w:rsid w:val="00287DF5"/>
    <w:rsid w:val="002905E6"/>
    <w:rsid w:val="0029083A"/>
    <w:rsid w:val="00292F00"/>
    <w:rsid w:val="00295A20"/>
    <w:rsid w:val="002A1734"/>
    <w:rsid w:val="002A1B55"/>
    <w:rsid w:val="002A21E4"/>
    <w:rsid w:val="002A32F4"/>
    <w:rsid w:val="002A53DA"/>
    <w:rsid w:val="002A62CB"/>
    <w:rsid w:val="002B70E7"/>
    <w:rsid w:val="002C2E3A"/>
    <w:rsid w:val="002C382A"/>
    <w:rsid w:val="002C59EB"/>
    <w:rsid w:val="002C5A45"/>
    <w:rsid w:val="002C60DA"/>
    <w:rsid w:val="002D21FA"/>
    <w:rsid w:val="002D4EB8"/>
    <w:rsid w:val="002D4EE4"/>
    <w:rsid w:val="002E07EE"/>
    <w:rsid w:val="002E0CCF"/>
    <w:rsid w:val="002E1AF8"/>
    <w:rsid w:val="002E54F5"/>
    <w:rsid w:val="002E7709"/>
    <w:rsid w:val="002F5FAF"/>
    <w:rsid w:val="00300545"/>
    <w:rsid w:val="003024F0"/>
    <w:rsid w:val="00303617"/>
    <w:rsid w:val="0030492E"/>
    <w:rsid w:val="003060EB"/>
    <w:rsid w:val="00307B7B"/>
    <w:rsid w:val="00307DE5"/>
    <w:rsid w:val="00310F86"/>
    <w:rsid w:val="00315B04"/>
    <w:rsid w:val="00317763"/>
    <w:rsid w:val="00320C20"/>
    <w:rsid w:val="00330807"/>
    <w:rsid w:val="00331594"/>
    <w:rsid w:val="003319EC"/>
    <w:rsid w:val="00334FAF"/>
    <w:rsid w:val="00340F69"/>
    <w:rsid w:val="00341989"/>
    <w:rsid w:val="00342AF0"/>
    <w:rsid w:val="003447BB"/>
    <w:rsid w:val="00347F9F"/>
    <w:rsid w:val="00350AAF"/>
    <w:rsid w:val="0035269E"/>
    <w:rsid w:val="0035357F"/>
    <w:rsid w:val="00370622"/>
    <w:rsid w:val="0037171D"/>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1A63"/>
    <w:rsid w:val="003C6BEA"/>
    <w:rsid w:val="003D045C"/>
    <w:rsid w:val="003D0D6C"/>
    <w:rsid w:val="003D2348"/>
    <w:rsid w:val="003D58BA"/>
    <w:rsid w:val="003D66CE"/>
    <w:rsid w:val="003E1DFE"/>
    <w:rsid w:val="003E396C"/>
    <w:rsid w:val="003E3BF6"/>
    <w:rsid w:val="003E5D6E"/>
    <w:rsid w:val="003F20AC"/>
    <w:rsid w:val="003F2B6E"/>
    <w:rsid w:val="003F2DE9"/>
    <w:rsid w:val="003F3774"/>
    <w:rsid w:val="00414E7C"/>
    <w:rsid w:val="00416592"/>
    <w:rsid w:val="004173C5"/>
    <w:rsid w:val="004204A7"/>
    <w:rsid w:val="0042374E"/>
    <w:rsid w:val="004240D9"/>
    <w:rsid w:val="0042592F"/>
    <w:rsid w:val="004261C0"/>
    <w:rsid w:val="00427184"/>
    <w:rsid w:val="0042731D"/>
    <w:rsid w:val="00432F8F"/>
    <w:rsid w:val="00433265"/>
    <w:rsid w:val="0043437F"/>
    <w:rsid w:val="00435F26"/>
    <w:rsid w:val="00437603"/>
    <w:rsid w:val="004447EB"/>
    <w:rsid w:val="00445B8E"/>
    <w:rsid w:val="00452C38"/>
    <w:rsid w:val="004630DE"/>
    <w:rsid w:val="00463F22"/>
    <w:rsid w:val="00465D61"/>
    <w:rsid w:val="00465E22"/>
    <w:rsid w:val="00466237"/>
    <w:rsid w:val="004665DB"/>
    <w:rsid w:val="00467FC4"/>
    <w:rsid w:val="004741F4"/>
    <w:rsid w:val="00476C89"/>
    <w:rsid w:val="004777C9"/>
    <w:rsid w:val="00477D14"/>
    <w:rsid w:val="00480D15"/>
    <w:rsid w:val="004852AE"/>
    <w:rsid w:val="00485C48"/>
    <w:rsid w:val="00485FF4"/>
    <w:rsid w:val="004866AD"/>
    <w:rsid w:val="004877F4"/>
    <w:rsid w:val="00490009"/>
    <w:rsid w:val="004907BA"/>
    <w:rsid w:val="00490EC1"/>
    <w:rsid w:val="0049178B"/>
    <w:rsid w:val="004942A2"/>
    <w:rsid w:val="0049585A"/>
    <w:rsid w:val="004A2C0D"/>
    <w:rsid w:val="004A35C4"/>
    <w:rsid w:val="004A4E19"/>
    <w:rsid w:val="004B10CA"/>
    <w:rsid w:val="004B5EC1"/>
    <w:rsid w:val="004B7096"/>
    <w:rsid w:val="004C3812"/>
    <w:rsid w:val="004C50E4"/>
    <w:rsid w:val="004C5D53"/>
    <w:rsid w:val="004C74C2"/>
    <w:rsid w:val="004D030F"/>
    <w:rsid w:val="004D127B"/>
    <w:rsid w:val="004D2462"/>
    <w:rsid w:val="004D249B"/>
    <w:rsid w:val="004E41B1"/>
    <w:rsid w:val="004E6F7B"/>
    <w:rsid w:val="004E78A7"/>
    <w:rsid w:val="004F2062"/>
    <w:rsid w:val="004F4F21"/>
    <w:rsid w:val="004F6C36"/>
    <w:rsid w:val="005002F0"/>
    <w:rsid w:val="005037AB"/>
    <w:rsid w:val="00511218"/>
    <w:rsid w:val="00514BA1"/>
    <w:rsid w:val="00517194"/>
    <w:rsid w:val="00523422"/>
    <w:rsid w:val="00523961"/>
    <w:rsid w:val="005259FB"/>
    <w:rsid w:val="00526D07"/>
    <w:rsid w:val="00533D3B"/>
    <w:rsid w:val="00540518"/>
    <w:rsid w:val="00542979"/>
    <w:rsid w:val="005436D2"/>
    <w:rsid w:val="005445B6"/>
    <w:rsid w:val="00545980"/>
    <w:rsid w:val="00547331"/>
    <w:rsid w:val="00547822"/>
    <w:rsid w:val="00552D7D"/>
    <w:rsid w:val="005564B3"/>
    <w:rsid w:val="0055794D"/>
    <w:rsid w:val="00567B61"/>
    <w:rsid w:val="00567FA0"/>
    <w:rsid w:val="00572FC0"/>
    <w:rsid w:val="00573667"/>
    <w:rsid w:val="005737A5"/>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4358"/>
    <w:rsid w:val="005A595A"/>
    <w:rsid w:val="005B2544"/>
    <w:rsid w:val="005B27B1"/>
    <w:rsid w:val="005B518F"/>
    <w:rsid w:val="005B55F4"/>
    <w:rsid w:val="005B5649"/>
    <w:rsid w:val="005B6B51"/>
    <w:rsid w:val="005C00E6"/>
    <w:rsid w:val="005C3118"/>
    <w:rsid w:val="005C43E7"/>
    <w:rsid w:val="005C5272"/>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589B"/>
    <w:rsid w:val="0061675A"/>
    <w:rsid w:val="00625B35"/>
    <w:rsid w:val="00625B6D"/>
    <w:rsid w:val="006261F9"/>
    <w:rsid w:val="00627190"/>
    <w:rsid w:val="00632F5C"/>
    <w:rsid w:val="00633335"/>
    <w:rsid w:val="00633408"/>
    <w:rsid w:val="00636E48"/>
    <w:rsid w:val="00640A81"/>
    <w:rsid w:val="00640C88"/>
    <w:rsid w:val="00641FD4"/>
    <w:rsid w:val="00645879"/>
    <w:rsid w:val="00646D90"/>
    <w:rsid w:val="00646FA2"/>
    <w:rsid w:val="006526AF"/>
    <w:rsid w:val="006533F6"/>
    <w:rsid w:val="006536C1"/>
    <w:rsid w:val="0065529F"/>
    <w:rsid w:val="006569AC"/>
    <w:rsid w:val="00657A80"/>
    <w:rsid w:val="006628BF"/>
    <w:rsid w:val="00662DD9"/>
    <w:rsid w:val="006709B2"/>
    <w:rsid w:val="00671152"/>
    <w:rsid w:val="0067199E"/>
    <w:rsid w:val="00675641"/>
    <w:rsid w:val="00676B63"/>
    <w:rsid w:val="0068289E"/>
    <w:rsid w:val="00682902"/>
    <w:rsid w:val="0068301F"/>
    <w:rsid w:val="006848CD"/>
    <w:rsid w:val="00684A60"/>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308A"/>
    <w:rsid w:val="006C4423"/>
    <w:rsid w:val="006C4CF0"/>
    <w:rsid w:val="006D2C9F"/>
    <w:rsid w:val="006D784C"/>
    <w:rsid w:val="006E111A"/>
    <w:rsid w:val="006E290E"/>
    <w:rsid w:val="006E2CB7"/>
    <w:rsid w:val="006E3B9F"/>
    <w:rsid w:val="006E576A"/>
    <w:rsid w:val="006E5E5C"/>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539D"/>
    <w:rsid w:val="0071584B"/>
    <w:rsid w:val="00720B44"/>
    <w:rsid w:val="007211E6"/>
    <w:rsid w:val="007233E9"/>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AA8"/>
    <w:rsid w:val="00787256"/>
    <w:rsid w:val="00787BE3"/>
    <w:rsid w:val="00792601"/>
    <w:rsid w:val="007931B4"/>
    <w:rsid w:val="0079445A"/>
    <w:rsid w:val="0079453F"/>
    <w:rsid w:val="007945C5"/>
    <w:rsid w:val="00795BB7"/>
    <w:rsid w:val="0079C103"/>
    <w:rsid w:val="007A0EAA"/>
    <w:rsid w:val="007A19CA"/>
    <w:rsid w:val="007A3E15"/>
    <w:rsid w:val="007A5EA9"/>
    <w:rsid w:val="007A7C9E"/>
    <w:rsid w:val="007B0B03"/>
    <w:rsid w:val="007C7CD9"/>
    <w:rsid w:val="007D0277"/>
    <w:rsid w:val="007D4412"/>
    <w:rsid w:val="007D69D8"/>
    <w:rsid w:val="007D7647"/>
    <w:rsid w:val="007E095E"/>
    <w:rsid w:val="007E2628"/>
    <w:rsid w:val="007E5E5F"/>
    <w:rsid w:val="007F0386"/>
    <w:rsid w:val="007F4550"/>
    <w:rsid w:val="00802969"/>
    <w:rsid w:val="00803535"/>
    <w:rsid w:val="00803EB2"/>
    <w:rsid w:val="00804C96"/>
    <w:rsid w:val="00805EFB"/>
    <w:rsid w:val="00807679"/>
    <w:rsid w:val="008118A6"/>
    <w:rsid w:val="00814BDC"/>
    <w:rsid w:val="00817E83"/>
    <w:rsid w:val="008210F1"/>
    <w:rsid w:val="00831DC0"/>
    <w:rsid w:val="0083675C"/>
    <w:rsid w:val="00841960"/>
    <w:rsid w:val="008435B7"/>
    <w:rsid w:val="008463DB"/>
    <w:rsid w:val="0084687D"/>
    <w:rsid w:val="00854D1B"/>
    <w:rsid w:val="0085622D"/>
    <w:rsid w:val="008575AC"/>
    <w:rsid w:val="00857C45"/>
    <w:rsid w:val="00863DB8"/>
    <w:rsid w:val="0086518E"/>
    <w:rsid w:val="00867DAE"/>
    <w:rsid w:val="008725ED"/>
    <w:rsid w:val="00872EA0"/>
    <w:rsid w:val="008769C2"/>
    <w:rsid w:val="00876F1A"/>
    <w:rsid w:val="0087704C"/>
    <w:rsid w:val="00877CD1"/>
    <w:rsid w:val="008862B6"/>
    <w:rsid w:val="00890652"/>
    <w:rsid w:val="00893535"/>
    <w:rsid w:val="00893CF1"/>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D130E"/>
    <w:rsid w:val="008D6DA3"/>
    <w:rsid w:val="008E0BDF"/>
    <w:rsid w:val="008E3EA0"/>
    <w:rsid w:val="008E4261"/>
    <w:rsid w:val="008E4A2D"/>
    <w:rsid w:val="008E54E6"/>
    <w:rsid w:val="008E5E3C"/>
    <w:rsid w:val="008E6495"/>
    <w:rsid w:val="008E7379"/>
    <w:rsid w:val="008F15FD"/>
    <w:rsid w:val="008F1B78"/>
    <w:rsid w:val="008F38A3"/>
    <w:rsid w:val="008F4BB2"/>
    <w:rsid w:val="008F63B4"/>
    <w:rsid w:val="008F7DD5"/>
    <w:rsid w:val="009001FB"/>
    <w:rsid w:val="00900BDB"/>
    <w:rsid w:val="00900CC8"/>
    <w:rsid w:val="00900FC8"/>
    <w:rsid w:val="00903430"/>
    <w:rsid w:val="00903DAF"/>
    <w:rsid w:val="009045F1"/>
    <w:rsid w:val="00907A2C"/>
    <w:rsid w:val="00910DFC"/>
    <w:rsid w:val="00912EE6"/>
    <w:rsid w:val="009136E9"/>
    <w:rsid w:val="00914149"/>
    <w:rsid w:val="00921DD5"/>
    <w:rsid w:val="00924E12"/>
    <w:rsid w:val="009276BF"/>
    <w:rsid w:val="0093300D"/>
    <w:rsid w:val="00934C71"/>
    <w:rsid w:val="0094179C"/>
    <w:rsid w:val="00942094"/>
    <w:rsid w:val="009422C4"/>
    <w:rsid w:val="009464F0"/>
    <w:rsid w:val="00946A7C"/>
    <w:rsid w:val="00951331"/>
    <w:rsid w:val="00951667"/>
    <w:rsid w:val="009553E4"/>
    <w:rsid w:val="009563F0"/>
    <w:rsid w:val="009563F3"/>
    <w:rsid w:val="0096059C"/>
    <w:rsid w:val="0096146E"/>
    <w:rsid w:val="0096395A"/>
    <w:rsid w:val="009675DB"/>
    <w:rsid w:val="009726B3"/>
    <w:rsid w:val="00977B2A"/>
    <w:rsid w:val="00977E0B"/>
    <w:rsid w:val="00985B26"/>
    <w:rsid w:val="0098652C"/>
    <w:rsid w:val="009868A4"/>
    <w:rsid w:val="00990C10"/>
    <w:rsid w:val="0099159B"/>
    <w:rsid w:val="00991EE9"/>
    <w:rsid w:val="009943C1"/>
    <w:rsid w:val="00994825"/>
    <w:rsid w:val="009965D1"/>
    <w:rsid w:val="009968CC"/>
    <w:rsid w:val="009A122D"/>
    <w:rsid w:val="009A55AB"/>
    <w:rsid w:val="009A6856"/>
    <w:rsid w:val="009B2515"/>
    <w:rsid w:val="009B26C4"/>
    <w:rsid w:val="009B404E"/>
    <w:rsid w:val="009B6497"/>
    <w:rsid w:val="009B6A19"/>
    <w:rsid w:val="009C1B95"/>
    <w:rsid w:val="009C279C"/>
    <w:rsid w:val="009C3231"/>
    <w:rsid w:val="009C33BB"/>
    <w:rsid w:val="009C4173"/>
    <w:rsid w:val="009C433A"/>
    <w:rsid w:val="009C582A"/>
    <w:rsid w:val="009C5C2F"/>
    <w:rsid w:val="009C5F67"/>
    <w:rsid w:val="009C7AD5"/>
    <w:rsid w:val="009D52BD"/>
    <w:rsid w:val="009D783E"/>
    <w:rsid w:val="009E2880"/>
    <w:rsid w:val="009E5E71"/>
    <w:rsid w:val="009E633E"/>
    <w:rsid w:val="009F0A28"/>
    <w:rsid w:val="009F1289"/>
    <w:rsid w:val="009F659F"/>
    <w:rsid w:val="009F7F91"/>
    <w:rsid w:val="00A00D0C"/>
    <w:rsid w:val="00A00E29"/>
    <w:rsid w:val="00A025CE"/>
    <w:rsid w:val="00A12266"/>
    <w:rsid w:val="00A138C6"/>
    <w:rsid w:val="00A227F3"/>
    <w:rsid w:val="00A23030"/>
    <w:rsid w:val="00A25E47"/>
    <w:rsid w:val="00A27453"/>
    <w:rsid w:val="00A276DC"/>
    <w:rsid w:val="00A3017D"/>
    <w:rsid w:val="00A30F25"/>
    <w:rsid w:val="00A358BC"/>
    <w:rsid w:val="00A36BFC"/>
    <w:rsid w:val="00A37C88"/>
    <w:rsid w:val="00A40B33"/>
    <w:rsid w:val="00A40F11"/>
    <w:rsid w:val="00A44368"/>
    <w:rsid w:val="00A447C4"/>
    <w:rsid w:val="00A44B03"/>
    <w:rsid w:val="00A479D7"/>
    <w:rsid w:val="00A50422"/>
    <w:rsid w:val="00A504E4"/>
    <w:rsid w:val="00A5334F"/>
    <w:rsid w:val="00A55C70"/>
    <w:rsid w:val="00A567C8"/>
    <w:rsid w:val="00A62AEE"/>
    <w:rsid w:val="00A64445"/>
    <w:rsid w:val="00A67316"/>
    <w:rsid w:val="00A704E3"/>
    <w:rsid w:val="00A72EF1"/>
    <w:rsid w:val="00A75C38"/>
    <w:rsid w:val="00A770A2"/>
    <w:rsid w:val="00A8163E"/>
    <w:rsid w:val="00A831F9"/>
    <w:rsid w:val="00A850B8"/>
    <w:rsid w:val="00A85B12"/>
    <w:rsid w:val="00A917AE"/>
    <w:rsid w:val="00A923C5"/>
    <w:rsid w:val="00A92C01"/>
    <w:rsid w:val="00A935AE"/>
    <w:rsid w:val="00A93FF1"/>
    <w:rsid w:val="00A94264"/>
    <w:rsid w:val="00AA262C"/>
    <w:rsid w:val="00AA4917"/>
    <w:rsid w:val="00AA4C9E"/>
    <w:rsid w:val="00AB0DC6"/>
    <w:rsid w:val="00AB0F6F"/>
    <w:rsid w:val="00AB4F4A"/>
    <w:rsid w:val="00AB5CB4"/>
    <w:rsid w:val="00AC3BD3"/>
    <w:rsid w:val="00AC44D5"/>
    <w:rsid w:val="00AC56F9"/>
    <w:rsid w:val="00AC6099"/>
    <w:rsid w:val="00AC7B69"/>
    <w:rsid w:val="00AD129B"/>
    <w:rsid w:val="00AD5FBD"/>
    <w:rsid w:val="00AE3344"/>
    <w:rsid w:val="00AE44FC"/>
    <w:rsid w:val="00AE5263"/>
    <w:rsid w:val="00AE66D3"/>
    <w:rsid w:val="00AF1D50"/>
    <w:rsid w:val="00AF3C41"/>
    <w:rsid w:val="00AF5FA3"/>
    <w:rsid w:val="00AF69E3"/>
    <w:rsid w:val="00AF7487"/>
    <w:rsid w:val="00B0017B"/>
    <w:rsid w:val="00B05318"/>
    <w:rsid w:val="00B0753E"/>
    <w:rsid w:val="00B07FD3"/>
    <w:rsid w:val="00B12028"/>
    <w:rsid w:val="00B120F4"/>
    <w:rsid w:val="00B12756"/>
    <w:rsid w:val="00B13DE2"/>
    <w:rsid w:val="00B13FF9"/>
    <w:rsid w:val="00B164B1"/>
    <w:rsid w:val="00B20DE5"/>
    <w:rsid w:val="00B21DC7"/>
    <w:rsid w:val="00B22509"/>
    <w:rsid w:val="00B27DE4"/>
    <w:rsid w:val="00B33F2B"/>
    <w:rsid w:val="00B34CF5"/>
    <w:rsid w:val="00B35B56"/>
    <w:rsid w:val="00B37005"/>
    <w:rsid w:val="00B417EB"/>
    <w:rsid w:val="00B43670"/>
    <w:rsid w:val="00B448AC"/>
    <w:rsid w:val="00B47FCC"/>
    <w:rsid w:val="00B521F6"/>
    <w:rsid w:val="00B60AD8"/>
    <w:rsid w:val="00B61DB0"/>
    <w:rsid w:val="00B61EF6"/>
    <w:rsid w:val="00B64D4C"/>
    <w:rsid w:val="00B711B4"/>
    <w:rsid w:val="00B75A21"/>
    <w:rsid w:val="00B7733B"/>
    <w:rsid w:val="00B82B0A"/>
    <w:rsid w:val="00B900E8"/>
    <w:rsid w:val="00B9612C"/>
    <w:rsid w:val="00B96B36"/>
    <w:rsid w:val="00BA0D1B"/>
    <w:rsid w:val="00BA6043"/>
    <w:rsid w:val="00BA7289"/>
    <w:rsid w:val="00BB17CC"/>
    <w:rsid w:val="00BB4CBA"/>
    <w:rsid w:val="00BB7DEE"/>
    <w:rsid w:val="00BC4964"/>
    <w:rsid w:val="00BC5379"/>
    <w:rsid w:val="00BD0DBD"/>
    <w:rsid w:val="00BD217C"/>
    <w:rsid w:val="00BD2554"/>
    <w:rsid w:val="00BD2B5D"/>
    <w:rsid w:val="00BD72B2"/>
    <w:rsid w:val="00BE0841"/>
    <w:rsid w:val="00BE2144"/>
    <w:rsid w:val="00BE45D2"/>
    <w:rsid w:val="00BE54F4"/>
    <w:rsid w:val="00BE60C9"/>
    <w:rsid w:val="00BF008A"/>
    <w:rsid w:val="00BF2654"/>
    <w:rsid w:val="00BF4A07"/>
    <w:rsid w:val="00BF6153"/>
    <w:rsid w:val="00C00401"/>
    <w:rsid w:val="00C01607"/>
    <w:rsid w:val="00C035DC"/>
    <w:rsid w:val="00C10D7B"/>
    <w:rsid w:val="00C12468"/>
    <w:rsid w:val="00C164FC"/>
    <w:rsid w:val="00C17073"/>
    <w:rsid w:val="00C20803"/>
    <w:rsid w:val="00C228A7"/>
    <w:rsid w:val="00C2341A"/>
    <w:rsid w:val="00C33D9C"/>
    <w:rsid w:val="00C3652F"/>
    <w:rsid w:val="00C37453"/>
    <w:rsid w:val="00C37A00"/>
    <w:rsid w:val="00C37F48"/>
    <w:rsid w:val="00C40507"/>
    <w:rsid w:val="00C4358C"/>
    <w:rsid w:val="00C43B7E"/>
    <w:rsid w:val="00C45D00"/>
    <w:rsid w:val="00C5060F"/>
    <w:rsid w:val="00C51182"/>
    <w:rsid w:val="00C52BF1"/>
    <w:rsid w:val="00C52D76"/>
    <w:rsid w:val="00C53F93"/>
    <w:rsid w:val="00C6449E"/>
    <w:rsid w:val="00C6692D"/>
    <w:rsid w:val="00C70A48"/>
    <w:rsid w:val="00C71AF3"/>
    <w:rsid w:val="00C72AA4"/>
    <w:rsid w:val="00C72C31"/>
    <w:rsid w:val="00C72F71"/>
    <w:rsid w:val="00C75A28"/>
    <w:rsid w:val="00C77369"/>
    <w:rsid w:val="00C81A1E"/>
    <w:rsid w:val="00C8279B"/>
    <w:rsid w:val="00C82F07"/>
    <w:rsid w:val="00C872FA"/>
    <w:rsid w:val="00C932D5"/>
    <w:rsid w:val="00C93FFF"/>
    <w:rsid w:val="00C950E4"/>
    <w:rsid w:val="00C95DC2"/>
    <w:rsid w:val="00C97907"/>
    <w:rsid w:val="00CA0001"/>
    <w:rsid w:val="00CA2DF4"/>
    <w:rsid w:val="00CA4D2B"/>
    <w:rsid w:val="00CA679E"/>
    <w:rsid w:val="00CB0971"/>
    <w:rsid w:val="00CB6B5D"/>
    <w:rsid w:val="00CB75B8"/>
    <w:rsid w:val="00CC1555"/>
    <w:rsid w:val="00CC1AC9"/>
    <w:rsid w:val="00CC49CF"/>
    <w:rsid w:val="00CC4E6E"/>
    <w:rsid w:val="00CD3436"/>
    <w:rsid w:val="00CD481C"/>
    <w:rsid w:val="00CD5A3E"/>
    <w:rsid w:val="00CD7CB4"/>
    <w:rsid w:val="00CE36CE"/>
    <w:rsid w:val="00CE721A"/>
    <w:rsid w:val="00CF07C2"/>
    <w:rsid w:val="00CF09EA"/>
    <w:rsid w:val="00CF0B94"/>
    <w:rsid w:val="00CF6706"/>
    <w:rsid w:val="00CF763E"/>
    <w:rsid w:val="00D0331D"/>
    <w:rsid w:val="00D045F9"/>
    <w:rsid w:val="00D11C64"/>
    <w:rsid w:val="00D20C22"/>
    <w:rsid w:val="00D24664"/>
    <w:rsid w:val="00D250C7"/>
    <w:rsid w:val="00D272A4"/>
    <w:rsid w:val="00D275E1"/>
    <w:rsid w:val="00D30B4E"/>
    <w:rsid w:val="00D35FAC"/>
    <w:rsid w:val="00D401DB"/>
    <w:rsid w:val="00D40B2B"/>
    <w:rsid w:val="00D42C12"/>
    <w:rsid w:val="00D46D6C"/>
    <w:rsid w:val="00D47298"/>
    <w:rsid w:val="00D51B1B"/>
    <w:rsid w:val="00D525EB"/>
    <w:rsid w:val="00D54B7E"/>
    <w:rsid w:val="00D613ED"/>
    <w:rsid w:val="00D61F4A"/>
    <w:rsid w:val="00D6706A"/>
    <w:rsid w:val="00D742F3"/>
    <w:rsid w:val="00D76BFE"/>
    <w:rsid w:val="00D7710D"/>
    <w:rsid w:val="00D773A8"/>
    <w:rsid w:val="00D8020F"/>
    <w:rsid w:val="00D81965"/>
    <w:rsid w:val="00D82624"/>
    <w:rsid w:val="00D82820"/>
    <w:rsid w:val="00D83D75"/>
    <w:rsid w:val="00D86F63"/>
    <w:rsid w:val="00D93854"/>
    <w:rsid w:val="00D9493F"/>
    <w:rsid w:val="00D95309"/>
    <w:rsid w:val="00DA3E8C"/>
    <w:rsid w:val="00DA53F4"/>
    <w:rsid w:val="00DA6606"/>
    <w:rsid w:val="00DA6895"/>
    <w:rsid w:val="00DB13BD"/>
    <w:rsid w:val="00DB4344"/>
    <w:rsid w:val="00DB487B"/>
    <w:rsid w:val="00DC040C"/>
    <w:rsid w:val="00DC0B72"/>
    <w:rsid w:val="00DC6068"/>
    <w:rsid w:val="00DC6A2D"/>
    <w:rsid w:val="00DC73BB"/>
    <w:rsid w:val="00DD0934"/>
    <w:rsid w:val="00DD0BBF"/>
    <w:rsid w:val="00DD14F7"/>
    <w:rsid w:val="00DD3504"/>
    <w:rsid w:val="00DE0208"/>
    <w:rsid w:val="00DE551F"/>
    <w:rsid w:val="00DE6D10"/>
    <w:rsid w:val="00DF2E9C"/>
    <w:rsid w:val="00DF5284"/>
    <w:rsid w:val="00DF5859"/>
    <w:rsid w:val="00E00C7F"/>
    <w:rsid w:val="00E03AED"/>
    <w:rsid w:val="00E04DD7"/>
    <w:rsid w:val="00E07AB6"/>
    <w:rsid w:val="00E1024B"/>
    <w:rsid w:val="00E10E19"/>
    <w:rsid w:val="00E12436"/>
    <w:rsid w:val="00E1263A"/>
    <w:rsid w:val="00E14893"/>
    <w:rsid w:val="00E20A4A"/>
    <w:rsid w:val="00E20F7F"/>
    <w:rsid w:val="00E21E20"/>
    <w:rsid w:val="00E2317D"/>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37B6"/>
    <w:rsid w:val="00E66151"/>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A0317"/>
    <w:rsid w:val="00EA1F15"/>
    <w:rsid w:val="00EA22F6"/>
    <w:rsid w:val="00EA4551"/>
    <w:rsid w:val="00EA4F3A"/>
    <w:rsid w:val="00EB106F"/>
    <w:rsid w:val="00EC19C5"/>
    <w:rsid w:val="00EC1BF8"/>
    <w:rsid w:val="00EC316C"/>
    <w:rsid w:val="00EC37B9"/>
    <w:rsid w:val="00EC3B34"/>
    <w:rsid w:val="00EC5DE0"/>
    <w:rsid w:val="00EC7065"/>
    <w:rsid w:val="00ED0B54"/>
    <w:rsid w:val="00ED3218"/>
    <w:rsid w:val="00ED577A"/>
    <w:rsid w:val="00EE004C"/>
    <w:rsid w:val="00EE1D68"/>
    <w:rsid w:val="00EE60A2"/>
    <w:rsid w:val="00EF5267"/>
    <w:rsid w:val="00F006D6"/>
    <w:rsid w:val="00F01AB5"/>
    <w:rsid w:val="00F02578"/>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E91"/>
    <w:rsid w:val="00F37599"/>
    <w:rsid w:val="00F4022E"/>
    <w:rsid w:val="00F4127B"/>
    <w:rsid w:val="00F419AC"/>
    <w:rsid w:val="00F43C57"/>
    <w:rsid w:val="00F445A6"/>
    <w:rsid w:val="00F44CAB"/>
    <w:rsid w:val="00F454AD"/>
    <w:rsid w:val="00F463C6"/>
    <w:rsid w:val="00F46C72"/>
    <w:rsid w:val="00F47D7B"/>
    <w:rsid w:val="00F5087F"/>
    <w:rsid w:val="00F5204E"/>
    <w:rsid w:val="00F53171"/>
    <w:rsid w:val="00F53CB5"/>
    <w:rsid w:val="00F542EB"/>
    <w:rsid w:val="00F5546D"/>
    <w:rsid w:val="00F55CAA"/>
    <w:rsid w:val="00F57D5A"/>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5C65"/>
    <w:rsid w:val="00FA13A2"/>
    <w:rsid w:val="00FA4489"/>
    <w:rsid w:val="00FA4508"/>
    <w:rsid w:val="00FA52F4"/>
    <w:rsid w:val="00FB2B67"/>
    <w:rsid w:val="00FB5A90"/>
    <w:rsid w:val="00FC2E71"/>
    <w:rsid w:val="00FC5C6E"/>
    <w:rsid w:val="00FC7216"/>
    <w:rsid w:val="00FC7ED0"/>
    <w:rsid w:val="00FD1005"/>
    <w:rsid w:val="00FD3481"/>
    <w:rsid w:val="00FE09F8"/>
    <w:rsid w:val="00FE36EA"/>
    <w:rsid w:val="00FE5AED"/>
    <w:rsid w:val="00FF299D"/>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ingocz314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fingo-cz/"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fingo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fing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11</TotalTime>
  <Pages>3</Pages>
  <Words>649</Words>
  <Characters>3832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6</cp:revision>
  <dcterms:created xsi:type="dcterms:W3CDTF">2025-05-19T07:44:00Z</dcterms:created>
  <dcterms:modified xsi:type="dcterms:W3CDTF">2025-05-20T09:08:00Z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