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A2631" w14:textId="2645D795" w:rsidR="00E66388" w:rsidRDefault="006344BC"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Zlato a jeho lednové výkony</w:t>
      </w:r>
    </w:p>
    <w:p w14:paraId="6EEC1694" w14:textId="77777777" w:rsidR="006344BC" w:rsidRPr="006344BC" w:rsidRDefault="006344BC" w:rsidP="006344BC">
      <w:pPr>
        <w:spacing w:line="276" w:lineRule="auto"/>
        <w:jc w:val="both"/>
        <w:rPr>
          <w:rFonts w:ascii="Invesco Interstate Bold" w:hAnsi="Invesco Interstate Bold"/>
          <w:b/>
          <w:bCs/>
          <w:sz w:val="24"/>
          <w:szCs w:val="24"/>
        </w:rPr>
      </w:pPr>
      <w:r w:rsidRPr="006344BC">
        <w:rPr>
          <w:rFonts w:ascii="Invesco Interstate Bold" w:hAnsi="Invesco Interstate Bold"/>
          <w:b/>
          <w:bCs/>
          <w:sz w:val="24"/>
          <w:szCs w:val="24"/>
        </w:rPr>
        <w:t xml:space="preserve">Po poklesu v posledních dvou měsících roku 2024 začalo zlato nový rok silným oživením a v lednu si připsalo 6,6 %. Cena během celého měsíce stabilně rostla, a to i v prvních týdnech, kdy čelila protivětru v podobě posilujícího amerického dolaru a vyšších výnosů dluhopisů. Zdálo se, že geopolitika má přednost před vším ostatním. Zlato podporovala rostoucí nejistota kolem mezinárodní situace a ohledně americké ekonomiky, inflace a úrokových sazeb, zejména v prostředí možných obchodních cel. Zlato zakončilo měsíc na hodnotě 2 798 USD, což je nové rekordní maximum. </w:t>
      </w:r>
    </w:p>
    <w:p w14:paraId="3D8B62CE" w14:textId="530A68F6" w:rsidR="006344BC" w:rsidRPr="006344BC" w:rsidRDefault="006344BC" w:rsidP="006344BC">
      <w:pPr>
        <w:spacing w:line="276" w:lineRule="auto"/>
        <w:jc w:val="both"/>
        <w:rPr>
          <w:rFonts w:ascii="Invesco Interstate Light" w:eastAsiaTheme="minorEastAsia" w:hAnsi="Invesco Interstate Light"/>
          <w:sz w:val="22"/>
          <w:szCs w:val="22"/>
        </w:rPr>
      </w:pPr>
      <w:r>
        <w:rPr>
          <w:rFonts w:ascii="Invesco Interstate Bold" w:hAnsi="Invesco Interstate Bold"/>
          <w:b/>
          <w:bCs/>
          <w:sz w:val="24"/>
          <w:szCs w:val="24"/>
        </w:rPr>
        <w:br/>
      </w:r>
      <w:r w:rsidRPr="006344BC">
        <w:rPr>
          <w:rFonts w:ascii="Invesco Interstate Light" w:eastAsiaTheme="minorEastAsia" w:hAnsi="Invesco Interstate Light"/>
          <w:sz w:val="22"/>
          <w:szCs w:val="22"/>
        </w:rPr>
        <w:t xml:space="preserve">Do 20. ledna, kdy Trump složil přísahu, zlato obnovilo všechny ztráty z posledních dvou měsíců roku 2024, a to navzdory všemu, co by bylo normálně považováno za nepříznivé okolnosti. Zpráva z amerického trhu práce ukázala, že v prosinci bylo vytvořeno více pracovních </w:t>
      </w:r>
      <w:r w:rsidR="007B55FF" w:rsidRPr="006344BC">
        <w:rPr>
          <w:rFonts w:ascii="Invesco Interstate Light" w:eastAsiaTheme="minorEastAsia" w:hAnsi="Invesco Interstate Light"/>
          <w:sz w:val="22"/>
          <w:szCs w:val="22"/>
        </w:rPr>
        <w:t>míst,</w:t>
      </w:r>
      <w:r w:rsidR="007B55FF">
        <w:rPr>
          <w:rFonts w:ascii="Invesco Interstate Light" w:eastAsiaTheme="minorEastAsia" w:hAnsi="Invesco Interstate Light"/>
          <w:sz w:val="22"/>
          <w:szCs w:val="22"/>
        </w:rPr>
        <w:t xml:space="preserve"> </w:t>
      </w:r>
      <w:r w:rsidRPr="006344BC">
        <w:rPr>
          <w:rFonts w:ascii="Invesco Interstate Light" w:eastAsiaTheme="minorEastAsia" w:hAnsi="Invesco Interstate Light"/>
          <w:sz w:val="22"/>
          <w:szCs w:val="22"/>
        </w:rPr>
        <w:t xml:space="preserve">než trh očekával, včetně pozic ve zdravotnictví a vládním sektoru. Také americká inflace byla vyšší, než se očekávalo, přičemž prosincový meziměsíční nárůst indexu spotřebitelských cen o 0,4 % byl nejvyšší od března. Zvýšení bylo způsobeno především vyššími náklady na energie a potraviny, ale některé jádrové složky vykazovaly známky toho, že růst nákladů není tak rychlý a trh začal počítat s možným červnovým snížením sazeb </w:t>
      </w:r>
      <w:proofErr w:type="spellStart"/>
      <w:r w:rsidRPr="006344BC">
        <w:rPr>
          <w:rFonts w:ascii="Invesco Interstate Light" w:eastAsiaTheme="minorEastAsia" w:hAnsi="Invesco Interstate Light"/>
          <w:sz w:val="22"/>
          <w:szCs w:val="22"/>
        </w:rPr>
        <w:t>Fedu</w:t>
      </w:r>
      <w:proofErr w:type="spellEnd"/>
      <w:r w:rsidRPr="006344BC">
        <w:rPr>
          <w:rFonts w:ascii="Invesco Interstate Light" w:eastAsiaTheme="minorEastAsia" w:hAnsi="Invesco Interstate Light"/>
          <w:sz w:val="22"/>
          <w:szCs w:val="22"/>
        </w:rPr>
        <w:t>.</w:t>
      </w:r>
    </w:p>
    <w:p w14:paraId="728C1E3E" w14:textId="77777777" w:rsidR="006344BC" w:rsidRDefault="006344BC" w:rsidP="006344BC">
      <w:pPr>
        <w:spacing w:line="360" w:lineRule="auto"/>
        <w:jc w:val="both"/>
        <w:rPr>
          <w:rFonts w:ascii="Invesco Interstate Light" w:hAnsi="Invesco Interstate Light"/>
          <w:b/>
          <w:bCs/>
          <w:sz w:val="22"/>
          <w:szCs w:val="22"/>
        </w:rPr>
      </w:pPr>
    </w:p>
    <w:p w14:paraId="133FABAA" w14:textId="318052CE" w:rsidR="002138D3" w:rsidRDefault="00811E63" w:rsidP="006344BC">
      <w:pPr>
        <w:spacing w:line="360" w:lineRule="auto"/>
        <w:jc w:val="both"/>
        <w:rPr>
          <w:rFonts w:ascii="Invesco Interstate Light" w:hAnsi="Invesco Interstate Light"/>
          <w:b/>
          <w:bCs/>
          <w:sz w:val="22"/>
          <w:szCs w:val="22"/>
        </w:rPr>
      </w:pPr>
      <w:r>
        <w:rPr>
          <w:rFonts w:ascii="Invesco Interstate Light" w:hAnsi="Invesco Interstate Light"/>
          <w:b/>
          <w:bCs/>
          <w:sz w:val="22"/>
          <w:szCs w:val="22"/>
        </w:rPr>
        <w:t>Graf 1</w:t>
      </w:r>
      <w:r w:rsidR="002138D3">
        <w:rPr>
          <w:rFonts w:ascii="Invesco Interstate Light" w:hAnsi="Invesco Interstate Light"/>
          <w:b/>
          <w:bCs/>
          <w:sz w:val="22"/>
          <w:szCs w:val="22"/>
        </w:rPr>
        <w:t>: Cena zlata v průběhu měsíce</w:t>
      </w:r>
    </w:p>
    <w:p w14:paraId="49375D2B" w14:textId="7E9F9C76" w:rsidR="002138D3" w:rsidRDefault="00EE37A3"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4C4265A2" wp14:editId="7C5AEA3D">
            <wp:extent cx="4054061" cy="3087843"/>
            <wp:effectExtent l="0" t="0" r="3810" b="0"/>
            <wp:docPr id="1007661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6115"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4054061" cy="3087843"/>
                    </a:xfrm>
                    <a:prstGeom prst="rect">
                      <a:avLst/>
                    </a:prstGeom>
                  </pic:spPr>
                </pic:pic>
              </a:graphicData>
            </a:graphic>
          </wp:inline>
        </w:drawing>
      </w:r>
    </w:p>
    <w:p w14:paraId="14DF5D3E" w14:textId="1891C052" w:rsidR="00802CD8" w:rsidRDefault="00811E63" w:rsidP="00811E63">
      <w:pPr>
        <w:spacing w:line="276" w:lineRule="auto"/>
        <w:jc w:val="both"/>
        <w:rPr>
          <w:rFonts w:ascii="Invesco Interstate Light" w:eastAsiaTheme="minorEastAsia" w:hAnsi="Invesco Interstate Light"/>
          <w:sz w:val="22"/>
          <w:szCs w:val="22"/>
        </w:rPr>
      </w:pPr>
      <w:r w:rsidRPr="00811E63">
        <w:rPr>
          <w:rFonts w:ascii="Invesco Interstate Light" w:eastAsiaTheme="minorEastAsia" w:hAnsi="Invesco Interstate Light"/>
          <w:sz w:val="22"/>
          <w:szCs w:val="22"/>
        </w:rPr>
        <w:t xml:space="preserve">Po slavnostní přísaze trhy poháněly nejen Trumpovy kroky, ale zejména jeho prohlášení kolem uvalení cel na Kanadu, Mexiko, Čínu a případně i evropské země. Svou roli v růstu zlata sehrála také volatilita akciových trhů, protože odhalení společnosti </w:t>
      </w:r>
      <w:proofErr w:type="spellStart"/>
      <w:r w:rsidRPr="00811E63">
        <w:rPr>
          <w:rFonts w:ascii="Invesco Interstate Light" w:eastAsiaTheme="minorEastAsia" w:hAnsi="Invesco Interstate Light"/>
          <w:sz w:val="22"/>
          <w:szCs w:val="22"/>
        </w:rPr>
        <w:t>DeepSeek</w:t>
      </w:r>
      <w:proofErr w:type="spellEnd"/>
      <w:r w:rsidRPr="00811E63">
        <w:rPr>
          <w:rFonts w:ascii="Invesco Interstate Light" w:eastAsiaTheme="minorEastAsia" w:hAnsi="Invesco Interstate Light"/>
          <w:sz w:val="22"/>
          <w:szCs w:val="22"/>
        </w:rPr>
        <w:t xml:space="preserve"> způsobilo otřesy v akciích umělé inteligence a na trhu obecně, </w:t>
      </w:r>
      <w:r w:rsidRPr="00811E63">
        <w:rPr>
          <w:rFonts w:ascii="Invesco Interstate Light" w:eastAsiaTheme="minorEastAsia" w:hAnsi="Invesco Interstate Light"/>
          <w:sz w:val="22"/>
          <w:szCs w:val="22"/>
        </w:rPr>
        <w:lastRenderedPageBreak/>
        <w:t>i když se podmínky nakonec stabilizovaly. Cena zlata se nadále posouvala vzhůru, protože zvýšená ekonomická a geopolitická nejistota přitahovala investory k tomuto aktivu vnímanému „bezpečnému přístavu“. Zlato zakončilo měsíc těsně pod hranicí 2 800 USD.</w:t>
      </w:r>
    </w:p>
    <w:p w14:paraId="26F60544" w14:textId="2441373A" w:rsidR="002138D3" w:rsidRDefault="00EE37A3"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2: Cena zlata a reálné výnosy </w:t>
      </w:r>
      <w:r w:rsidR="00811E63">
        <w:rPr>
          <w:rFonts w:ascii="Invesco Interstate Light" w:hAnsi="Invesco Interstate Light"/>
          <w:b/>
          <w:bCs/>
          <w:sz w:val="22"/>
          <w:szCs w:val="22"/>
        </w:rPr>
        <w:t>dluhopisů</w:t>
      </w:r>
    </w:p>
    <w:p w14:paraId="7107D9ED" w14:textId="77777777" w:rsidR="001D6FB6" w:rsidRDefault="001D6FB6" w:rsidP="00262A62">
      <w:pPr>
        <w:spacing w:line="360" w:lineRule="auto"/>
        <w:jc w:val="both"/>
        <w:rPr>
          <w:rFonts w:ascii="Invesco Interstate Light" w:eastAsiaTheme="minorEastAsia" w:hAnsi="Invesco Interstate Light"/>
          <w:sz w:val="22"/>
          <w:szCs w:val="22"/>
        </w:rPr>
      </w:pPr>
      <w:r w:rsidRPr="001D6FB6">
        <w:rPr>
          <w:rFonts w:ascii="Invesco Interstate Light" w:eastAsiaTheme="minorEastAsia" w:hAnsi="Invesco Interstate Light"/>
          <w:noProof/>
          <w:sz w:val="22"/>
          <w:szCs w:val="22"/>
        </w:rPr>
        <w:drawing>
          <wp:inline distT="0" distB="0" distL="0" distR="0" wp14:anchorId="1CC19383" wp14:editId="342866F3">
            <wp:extent cx="5428243" cy="4279265"/>
            <wp:effectExtent l="0" t="0" r="1270" b="6985"/>
            <wp:docPr id="11087866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8666" name="Obrázek 1"/>
                    <pic:cNvPicPr/>
                  </pic:nvPicPr>
                  <pic:blipFill>
                    <a:blip r:embed="rId12">
                      <a:extLst>
                        <a:ext uri="{28A0092B-C50C-407E-A947-70E740481C1C}">
                          <a14:useLocalDpi xmlns:a14="http://schemas.microsoft.com/office/drawing/2010/main" val="0"/>
                        </a:ext>
                      </a:extLst>
                    </a:blip>
                    <a:stretch>
                      <a:fillRect/>
                    </a:stretch>
                  </pic:blipFill>
                  <pic:spPr>
                    <a:xfrm>
                      <a:off x="0" y="0"/>
                      <a:ext cx="5428243" cy="4279265"/>
                    </a:xfrm>
                    <a:prstGeom prst="rect">
                      <a:avLst/>
                    </a:prstGeom>
                  </pic:spPr>
                </pic:pic>
              </a:graphicData>
            </a:graphic>
          </wp:inline>
        </w:drawing>
      </w:r>
    </w:p>
    <w:p w14:paraId="2B464F65" w14:textId="77777777" w:rsidR="00811E63" w:rsidRPr="00811E63" w:rsidRDefault="001D6FB6" w:rsidP="00811E63">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00811E63" w:rsidRPr="00811E63">
        <w:rPr>
          <w:rFonts w:ascii="Invesco Interstate Light" w:eastAsiaTheme="minorEastAsia" w:hAnsi="Invesco Interstate Light"/>
          <w:sz w:val="22"/>
          <w:szCs w:val="22"/>
        </w:rPr>
        <w:t xml:space="preserve">V první polovině ledna se výnosy dluhopisů i americký dolar posunuly výše, protože ekonomická data fakticky odstranila jakoukoli šanci na snížení sazeb na lednovém zasedání </w:t>
      </w:r>
      <w:proofErr w:type="spellStart"/>
      <w:r w:rsidR="00811E63" w:rsidRPr="00811E63">
        <w:rPr>
          <w:rFonts w:ascii="Invesco Interstate Light" w:eastAsiaTheme="minorEastAsia" w:hAnsi="Invesco Interstate Light"/>
          <w:sz w:val="22"/>
          <w:szCs w:val="22"/>
        </w:rPr>
        <w:t>Fedu</w:t>
      </w:r>
      <w:proofErr w:type="spellEnd"/>
      <w:r w:rsidR="00811E63" w:rsidRPr="00811E63">
        <w:rPr>
          <w:rFonts w:ascii="Invesco Interstate Light" w:eastAsiaTheme="minorEastAsia" w:hAnsi="Invesco Interstate Light"/>
          <w:sz w:val="22"/>
          <w:szCs w:val="22"/>
        </w:rPr>
        <w:t xml:space="preserve"> a zdálo se, že snižují možnost snížení sazeb v několika následujících měsících. Abychom byli spravedliví, trhy po prosincovém zasedání </w:t>
      </w:r>
      <w:proofErr w:type="spellStart"/>
      <w:r w:rsidR="00811E63" w:rsidRPr="00811E63">
        <w:rPr>
          <w:rFonts w:ascii="Invesco Interstate Light" w:eastAsiaTheme="minorEastAsia" w:hAnsi="Invesco Interstate Light"/>
          <w:sz w:val="22"/>
          <w:szCs w:val="22"/>
        </w:rPr>
        <w:t>Fedu</w:t>
      </w:r>
      <w:proofErr w:type="spellEnd"/>
      <w:r w:rsidR="00811E63" w:rsidRPr="00811E63">
        <w:rPr>
          <w:rFonts w:ascii="Invesco Interstate Light" w:eastAsiaTheme="minorEastAsia" w:hAnsi="Invesco Interstate Light"/>
          <w:sz w:val="22"/>
          <w:szCs w:val="22"/>
        </w:rPr>
        <w:t xml:space="preserve"> už počítaly s pauzou, takže to ve skutečnosti příliš nepohnulo kartami.</w:t>
      </w:r>
    </w:p>
    <w:p w14:paraId="3E00353D" w14:textId="77777777" w:rsidR="00811E63" w:rsidRDefault="00811E63" w:rsidP="001D6FB6">
      <w:pPr>
        <w:spacing w:line="360" w:lineRule="auto"/>
        <w:jc w:val="both"/>
        <w:rPr>
          <w:rFonts w:ascii="Invesco Interstate Light" w:hAnsi="Invesco Interstate Light"/>
          <w:b/>
          <w:bCs/>
          <w:sz w:val="22"/>
          <w:szCs w:val="22"/>
        </w:rPr>
      </w:pPr>
    </w:p>
    <w:p w14:paraId="2823B709" w14:textId="77777777" w:rsidR="00811E63" w:rsidRPr="00811E63" w:rsidRDefault="00811E63" w:rsidP="00811E63">
      <w:pPr>
        <w:spacing w:line="276" w:lineRule="auto"/>
        <w:jc w:val="both"/>
        <w:rPr>
          <w:rFonts w:ascii="Invesco Interstate Light" w:eastAsiaTheme="minorEastAsia" w:hAnsi="Invesco Interstate Light"/>
          <w:sz w:val="22"/>
          <w:szCs w:val="22"/>
        </w:rPr>
      </w:pPr>
      <w:r w:rsidRPr="00811E63">
        <w:rPr>
          <w:rFonts w:ascii="Invesco Interstate Light" w:eastAsiaTheme="minorEastAsia" w:hAnsi="Invesco Interstate Light"/>
          <w:sz w:val="22"/>
          <w:szCs w:val="22"/>
        </w:rPr>
        <w:t>Zatímco Fed tak na svém zasedání 29. ledna ponechal sazby beze změny, ECB o den později snížila sazby o 25 bazických bodů, což bylo již páté takové snížení od zahájení uvolňování měnové politiky v červnu 2024. Snížení bylo trhem široce očekáváno, přičemž ECB se odvolávala na slabost evropské ekonomiky. Vzhledem k tomu, že její politika je stále vnímána jako restriktivní, očekává se další snižování. Centrální banka však uvedla, že budoucí rozhodnutí budou záviset na datech a že není předem zavázána ke konkrétní trajektorii sazeb.</w:t>
      </w:r>
    </w:p>
    <w:p w14:paraId="6C350652" w14:textId="7AA22599" w:rsidR="00262A62" w:rsidRPr="001D6FB6" w:rsidRDefault="00811E63" w:rsidP="00811E63">
      <w:pPr>
        <w:spacing w:line="276" w:lineRule="auto"/>
        <w:jc w:val="both"/>
        <w:rPr>
          <w:rFonts w:ascii="Invesco Interstate Light" w:eastAsiaTheme="minorEastAsia" w:hAnsi="Invesco Interstate Light"/>
          <w:sz w:val="22"/>
          <w:szCs w:val="22"/>
        </w:rPr>
      </w:pPr>
      <w:r w:rsidRPr="00811E63">
        <w:rPr>
          <w:rFonts w:ascii="Invesco Interstate Light" w:eastAsiaTheme="minorEastAsia" w:hAnsi="Invesco Interstate Light"/>
          <w:sz w:val="22"/>
          <w:szCs w:val="22"/>
        </w:rPr>
        <w:lastRenderedPageBreak/>
        <w:t xml:space="preserve">Bank </w:t>
      </w:r>
      <w:proofErr w:type="spellStart"/>
      <w:r w:rsidRPr="00811E63">
        <w:rPr>
          <w:rFonts w:ascii="Invesco Interstate Light" w:eastAsiaTheme="minorEastAsia" w:hAnsi="Invesco Interstate Light"/>
          <w:sz w:val="22"/>
          <w:szCs w:val="22"/>
        </w:rPr>
        <w:t>of</w:t>
      </w:r>
      <w:proofErr w:type="spellEnd"/>
      <w:r w:rsidRPr="00811E63">
        <w:rPr>
          <w:rFonts w:ascii="Invesco Interstate Light" w:eastAsiaTheme="minorEastAsia" w:hAnsi="Invesco Interstate Light"/>
          <w:sz w:val="22"/>
          <w:szCs w:val="22"/>
        </w:rPr>
        <w:t xml:space="preserve"> Japan mezitím 24. ledna zvyšuje svou úrokovou sazbu o 25 bazických bodů s odkazem na větší jistotu ohledně mezd a cenové inflace ve srovnání s předchozím měsícem, kdy ponechala sazby beze změny. Na pozadí tohoto zpřísnění politiky a inflačních tlaků posílil jen, což pomohlo omezit růst indexu USD (DXY) v druhé polovině měsíce.</w:t>
      </w:r>
    </w:p>
    <w:p w14:paraId="25F1C447" w14:textId="5096E259" w:rsidR="00262A62" w:rsidRDefault="00262A62" w:rsidP="00262A62">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w:t>
      </w:r>
      <w:r w:rsidR="001D6FB6">
        <w:rPr>
          <w:rFonts w:ascii="Invesco Interstate Light" w:hAnsi="Invesco Interstate Light"/>
          <w:b/>
          <w:bCs/>
          <w:sz w:val="22"/>
          <w:szCs w:val="22"/>
        </w:rPr>
        <w:t>3</w:t>
      </w:r>
      <w:r>
        <w:rPr>
          <w:rFonts w:ascii="Invesco Interstate Light" w:hAnsi="Invesco Interstate Light"/>
          <w:b/>
          <w:bCs/>
          <w:sz w:val="22"/>
          <w:szCs w:val="22"/>
        </w:rPr>
        <w:t xml:space="preserve">: Cena zlata a </w:t>
      </w:r>
      <w:r w:rsidR="001D6FB6">
        <w:rPr>
          <w:rFonts w:ascii="Invesco Interstate Light" w:hAnsi="Invesco Interstate Light"/>
          <w:b/>
          <w:bCs/>
          <w:sz w:val="22"/>
          <w:szCs w:val="22"/>
        </w:rPr>
        <w:t>americký dolar</w:t>
      </w:r>
    </w:p>
    <w:p w14:paraId="18CE57D9" w14:textId="6D273E65" w:rsidR="00262A62" w:rsidRDefault="001D6FB6" w:rsidP="00781C4A">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noProof/>
          <w:sz w:val="22"/>
          <w:szCs w:val="22"/>
        </w:rPr>
        <w:drawing>
          <wp:inline distT="0" distB="0" distL="0" distR="0" wp14:anchorId="159191BE" wp14:editId="6742488A">
            <wp:extent cx="5715000" cy="4171950"/>
            <wp:effectExtent l="0" t="0" r="0" b="0"/>
            <wp:docPr id="2695070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07015" name="Obrázek 2"/>
                    <pic:cNvPicPr/>
                  </pic:nvPicPr>
                  <pic:blipFill>
                    <a:blip r:embed="rId13">
                      <a:extLst>
                        <a:ext uri="{28A0092B-C50C-407E-A947-70E740481C1C}">
                          <a14:useLocalDpi xmlns:a14="http://schemas.microsoft.com/office/drawing/2010/main" val="0"/>
                        </a:ext>
                      </a:extLst>
                    </a:blip>
                    <a:stretch>
                      <a:fillRect/>
                    </a:stretch>
                  </pic:blipFill>
                  <pic:spPr>
                    <a:xfrm>
                      <a:off x="0" y="0"/>
                      <a:ext cx="5715000" cy="4171950"/>
                    </a:xfrm>
                    <a:prstGeom prst="rect">
                      <a:avLst/>
                    </a:prstGeom>
                  </pic:spPr>
                </pic:pic>
              </a:graphicData>
            </a:graphic>
          </wp:inline>
        </w:drawing>
      </w:r>
    </w:p>
    <w:p w14:paraId="7070DA7D" w14:textId="3E03E4D4" w:rsidR="006904CF" w:rsidRDefault="00811E63" w:rsidP="006904C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Nabídka a poptávka ve 4. čtvrtletí</w:t>
      </w:r>
    </w:p>
    <w:p w14:paraId="572D5048" w14:textId="77777777" w:rsidR="00811E63" w:rsidRPr="00811E63" w:rsidRDefault="00811E63" w:rsidP="00811E63">
      <w:pPr>
        <w:spacing w:line="276" w:lineRule="auto"/>
        <w:jc w:val="both"/>
        <w:rPr>
          <w:rFonts w:ascii="Invesco Interstate Light" w:eastAsiaTheme="minorEastAsia" w:hAnsi="Invesco Interstate Light"/>
          <w:sz w:val="22"/>
          <w:szCs w:val="22"/>
        </w:rPr>
      </w:pPr>
      <w:r w:rsidRPr="00811E63">
        <w:rPr>
          <w:rFonts w:ascii="Invesco Interstate Light" w:eastAsiaTheme="minorEastAsia" w:hAnsi="Invesco Interstate Light"/>
          <w:sz w:val="22"/>
          <w:szCs w:val="22"/>
        </w:rPr>
        <w:t xml:space="preserve">Data o nabídce a poptávce, která na konci měsíce zveřejnil </w:t>
      </w:r>
      <w:proofErr w:type="spellStart"/>
      <w:r w:rsidRPr="00811E63">
        <w:rPr>
          <w:rFonts w:ascii="Invesco Interstate Light" w:eastAsiaTheme="minorEastAsia" w:hAnsi="Invesco Interstate Light"/>
          <w:sz w:val="22"/>
          <w:szCs w:val="22"/>
        </w:rPr>
        <w:t>World</w:t>
      </w:r>
      <w:proofErr w:type="spellEnd"/>
      <w:r w:rsidRPr="00811E63">
        <w:rPr>
          <w:rFonts w:ascii="Invesco Interstate Light" w:eastAsiaTheme="minorEastAsia" w:hAnsi="Invesco Interstate Light"/>
          <w:sz w:val="22"/>
          <w:szCs w:val="22"/>
        </w:rPr>
        <w:t xml:space="preserve"> Gold </w:t>
      </w:r>
      <w:proofErr w:type="spellStart"/>
      <w:r w:rsidRPr="00811E63">
        <w:rPr>
          <w:rFonts w:ascii="Invesco Interstate Light" w:eastAsiaTheme="minorEastAsia" w:hAnsi="Invesco Interstate Light"/>
          <w:sz w:val="22"/>
          <w:szCs w:val="22"/>
        </w:rPr>
        <w:t>Council</w:t>
      </w:r>
      <w:proofErr w:type="spellEnd"/>
      <w:r w:rsidRPr="00811E63">
        <w:rPr>
          <w:rFonts w:ascii="Invesco Interstate Light" w:eastAsiaTheme="minorEastAsia" w:hAnsi="Invesco Interstate Light"/>
          <w:sz w:val="22"/>
          <w:szCs w:val="22"/>
        </w:rPr>
        <w:t>, poukázaly na pokračování značných čistých nákupů zlata centrálními bankami ve 4. čtvrtletí, přičemž v posledním čtvrtletí roku 2024 vzrostly také investice do zlata jak z maloobchodu (pruty a mince), tak z oblasti ETF. Poptávka ETF byla vedena Severní Amerikou a Asií, zatímco evropské produkty zaznamenaly za čtvrtletí odliv, ačkoli v prosinci byla evropská poptávka silně pozitivní.</w:t>
      </w:r>
    </w:p>
    <w:p w14:paraId="62566EA0" w14:textId="77777777" w:rsidR="00340AD2" w:rsidRDefault="00340AD2" w:rsidP="00340AD2"/>
    <w:p w14:paraId="72BBF82F" w14:textId="2C9EC774" w:rsidR="00340AD2" w:rsidRPr="00340AD2" w:rsidRDefault="00340AD2" w:rsidP="00340AD2">
      <w:pPr>
        <w:spacing w:line="276" w:lineRule="auto"/>
        <w:jc w:val="both"/>
        <w:rPr>
          <w:rFonts w:ascii="Invesco Interstate Light" w:eastAsiaTheme="minorEastAsia" w:hAnsi="Invesco Interstate Light"/>
          <w:sz w:val="22"/>
          <w:szCs w:val="22"/>
        </w:rPr>
      </w:pPr>
      <w:r w:rsidRPr="00340AD2">
        <w:rPr>
          <w:rFonts w:ascii="Invesco Interstate Light" w:eastAsiaTheme="minorEastAsia" w:hAnsi="Invesco Interstate Light"/>
          <w:sz w:val="22"/>
          <w:szCs w:val="22"/>
        </w:rPr>
        <w:t xml:space="preserve">Mezi centrálními bankami byla nejvýznamnější </w:t>
      </w:r>
      <w:proofErr w:type="spellStart"/>
      <w:r w:rsidRPr="00340AD2">
        <w:rPr>
          <w:rFonts w:ascii="Invesco Interstate Light" w:eastAsiaTheme="minorEastAsia" w:hAnsi="Invesco Interstate Light"/>
          <w:sz w:val="22"/>
          <w:szCs w:val="22"/>
        </w:rPr>
        <w:t>People’s</w:t>
      </w:r>
      <w:proofErr w:type="spellEnd"/>
      <w:r w:rsidRPr="00340AD2">
        <w:rPr>
          <w:rFonts w:ascii="Invesco Interstate Light" w:eastAsiaTheme="minorEastAsia" w:hAnsi="Invesco Interstate Light"/>
          <w:sz w:val="22"/>
          <w:szCs w:val="22"/>
        </w:rPr>
        <w:t xml:space="preserve"> Bank </w:t>
      </w:r>
      <w:proofErr w:type="spellStart"/>
      <w:r w:rsidRPr="00340AD2">
        <w:rPr>
          <w:rFonts w:ascii="Invesco Interstate Light" w:eastAsiaTheme="minorEastAsia" w:hAnsi="Invesco Interstate Light"/>
          <w:sz w:val="22"/>
          <w:szCs w:val="22"/>
        </w:rPr>
        <w:t>of</w:t>
      </w:r>
      <w:proofErr w:type="spellEnd"/>
      <w:r w:rsidRPr="00340AD2">
        <w:rPr>
          <w:rFonts w:ascii="Invesco Interstate Light" w:eastAsiaTheme="minorEastAsia" w:hAnsi="Invesco Interstate Light"/>
          <w:sz w:val="22"/>
          <w:szCs w:val="22"/>
        </w:rPr>
        <w:t xml:space="preserve"> </w:t>
      </w:r>
      <w:proofErr w:type="spellStart"/>
      <w:r w:rsidRPr="00340AD2">
        <w:rPr>
          <w:rFonts w:ascii="Invesco Interstate Light" w:eastAsiaTheme="minorEastAsia" w:hAnsi="Invesco Interstate Light"/>
          <w:sz w:val="22"/>
          <w:szCs w:val="22"/>
        </w:rPr>
        <w:t>China</w:t>
      </w:r>
      <w:proofErr w:type="spellEnd"/>
      <w:r w:rsidRPr="00340AD2">
        <w:rPr>
          <w:rFonts w:ascii="Invesco Interstate Light" w:eastAsiaTheme="minorEastAsia" w:hAnsi="Invesco Interstate Light"/>
          <w:sz w:val="22"/>
          <w:szCs w:val="22"/>
        </w:rPr>
        <w:t xml:space="preserve">, která v prosinci přidala do svých rezerv 10 tun zlata po pěti tunách nakoupených v listopadu, což signalizovalo obnovení programu nákupu zlata </w:t>
      </w:r>
      <w:proofErr w:type="spellStart"/>
      <w:r w:rsidRPr="00340AD2">
        <w:rPr>
          <w:rFonts w:ascii="Invesco Interstate Light" w:eastAsiaTheme="minorEastAsia" w:hAnsi="Invesco Interstate Light"/>
          <w:sz w:val="22"/>
          <w:szCs w:val="22"/>
        </w:rPr>
        <w:t>PBoC</w:t>
      </w:r>
      <w:proofErr w:type="spellEnd"/>
      <w:r w:rsidRPr="00340AD2">
        <w:rPr>
          <w:rFonts w:ascii="Invesco Interstate Light" w:eastAsiaTheme="minorEastAsia" w:hAnsi="Invesco Interstate Light"/>
          <w:sz w:val="22"/>
          <w:szCs w:val="22"/>
        </w:rPr>
        <w:t xml:space="preserve"> po šestiměsíční přestávce. Za celý kalendářní rok čisté nákupy zlata centrálními bankami na celém světě překročily 1 000 tun již potřetí za sebou.</w:t>
      </w:r>
    </w:p>
    <w:p w14:paraId="72547BD1" w14:textId="35937507" w:rsidR="00340AD2" w:rsidRDefault="00340AD2" w:rsidP="00340AD2">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Na co si dát pozor?</w:t>
      </w:r>
    </w:p>
    <w:p w14:paraId="34D3760C" w14:textId="7B5DA7E3" w:rsidR="00340AD2" w:rsidRPr="00340AD2" w:rsidRDefault="00340AD2" w:rsidP="00340AD2">
      <w:pPr>
        <w:spacing w:line="276" w:lineRule="auto"/>
        <w:jc w:val="both"/>
        <w:rPr>
          <w:rFonts w:ascii="Invesco Interstate Light" w:eastAsiaTheme="minorEastAsia" w:hAnsi="Invesco Interstate Light"/>
          <w:sz w:val="22"/>
          <w:szCs w:val="22"/>
        </w:rPr>
      </w:pPr>
      <w:r w:rsidRPr="00340AD2">
        <w:rPr>
          <w:rFonts w:ascii="Invesco Interstate Light" w:eastAsiaTheme="minorEastAsia" w:hAnsi="Invesco Interstate Light"/>
          <w:sz w:val="22"/>
          <w:szCs w:val="22"/>
        </w:rPr>
        <w:t xml:space="preserve">Trumpova politická prohlášení, ale přesněji řečeno konečné výsledky, včetně toho, jak dopadnou obchodní jednání. </w:t>
      </w:r>
      <w:r w:rsidR="00563241" w:rsidRPr="00563241">
        <w:rPr>
          <w:rFonts w:ascii="Invesco Interstate Light" w:eastAsiaTheme="minorEastAsia" w:hAnsi="Invesco Interstate Light"/>
          <w:i/>
          <w:iCs/>
          <w:sz w:val="22"/>
          <w:szCs w:val="22"/>
        </w:rPr>
        <w:t>„</w:t>
      </w:r>
      <w:r w:rsidRPr="00563241">
        <w:rPr>
          <w:rFonts w:ascii="Invesco Interstate Light" w:eastAsiaTheme="minorEastAsia" w:hAnsi="Invesco Interstate Light"/>
          <w:i/>
          <w:iCs/>
          <w:sz w:val="22"/>
          <w:szCs w:val="22"/>
        </w:rPr>
        <w:t>Viděli jsme, že Trump využil hrozbu cel k tomu, aby přivedl mexické a kanadské představitele k jednání o klíčových otázkách, jako je bezpečnost hranic, a ještě důležitější by mohlo být sledovat vývoj s Čínou a potenciálně i se Spojeným královstvím a Evropskou unií,</w:t>
      </w:r>
      <w:r w:rsidR="00563241" w:rsidRPr="00563241">
        <w:rPr>
          <w:rFonts w:ascii="Invesco Interstate Light" w:eastAsiaTheme="minorEastAsia" w:hAnsi="Invesco Interstate Light"/>
          <w:i/>
          <w:iCs/>
          <w:sz w:val="22"/>
          <w:szCs w:val="22"/>
        </w:rPr>
        <w:t>“</w:t>
      </w:r>
      <w:r w:rsidRPr="00340AD2">
        <w:rPr>
          <w:rFonts w:ascii="Invesco Interstate Light" w:eastAsiaTheme="minorEastAsia" w:hAnsi="Invesco Interstate Light"/>
          <w:sz w:val="22"/>
          <w:szCs w:val="22"/>
        </w:rPr>
        <w:t xml:space="preserve"> vysvětlují analytici z </w:t>
      </w:r>
      <w:proofErr w:type="spellStart"/>
      <w:r w:rsidRPr="00340AD2">
        <w:rPr>
          <w:rFonts w:ascii="Invesco Interstate Light" w:eastAsiaTheme="minorEastAsia" w:hAnsi="Invesco Interstate Light"/>
          <w:sz w:val="22"/>
          <w:szCs w:val="22"/>
        </w:rPr>
        <w:t>Invesca</w:t>
      </w:r>
      <w:proofErr w:type="spellEnd"/>
      <w:r w:rsidRPr="00340AD2">
        <w:rPr>
          <w:rFonts w:ascii="Invesco Interstate Light" w:eastAsiaTheme="minorEastAsia" w:hAnsi="Invesco Interstate Light"/>
          <w:sz w:val="22"/>
          <w:szCs w:val="22"/>
        </w:rPr>
        <w:t>.</w:t>
      </w:r>
    </w:p>
    <w:p w14:paraId="1007944C"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04A320E4" w14:textId="398ADEBF" w:rsidR="00340AD2" w:rsidRPr="00340AD2" w:rsidRDefault="00340AD2" w:rsidP="00340AD2">
      <w:pPr>
        <w:spacing w:line="276" w:lineRule="auto"/>
        <w:jc w:val="both"/>
        <w:rPr>
          <w:rFonts w:ascii="Invesco Interstate Light" w:eastAsiaTheme="minorEastAsia" w:hAnsi="Invesco Interstate Light"/>
          <w:sz w:val="22"/>
          <w:szCs w:val="22"/>
        </w:rPr>
      </w:pPr>
      <w:r w:rsidRPr="00340AD2">
        <w:rPr>
          <w:rFonts w:ascii="Invesco Interstate Light" w:eastAsiaTheme="minorEastAsia" w:hAnsi="Invesco Interstate Light"/>
          <w:sz w:val="22"/>
          <w:szCs w:val="22"/>
        </w:rPr>
        <w:t xml:space="preserve">V příštích měsících bude také důležité sledovat data o inflaci a zaměstnanosti v USA, která se budou promítat do měnové politiky </w:t>
      </w:r>
      <w:proofErr w:type="spellStart"/>
      <w:r w:rsidRPr="00340AD2">
        <w:rPr>
          <w:rFonts w:ascii="Invesco Interstate Light" w:eastAsiaTheme="minorEastAsia" w:hAnsi="Invesco Interstate Light"/>
          <w:sz w:val="22"/>
          <w:szCs w:val="22"/>
        </w:rPr>
        <w:t>Fedu</w:t>
      </w:r>
      <w:proofErr w:type="spellEnd"/>
      <w:r w:rsidRPr="00340AD2">
        <w:rPr>
          <w:rFonts w:ascii="Invesco Interstate Light" w:eastAsiaTheme="minorEastAsia" w:hAnsi="Invesco Interstate Light"/>
          <w:sz w:val="22"/>
          <w:szCs w:val="22"/>
        </w:rPr>
        <w:t>, ale mohly by být významné i v souvislosti s podporou Trumpovy politiky. Americká veřejnost bude chtít vidět, jak prezident plní svůj předvolební slib snížit inflaci. Vyplatí se také sledovat podmínky na trhu práce s</w:t>
      </w:r>
      <w:r w:rsidRPr="00340AD2">
        <w:rPr>
          <w:rFonts w:ascii="Invesco Interstate Light" w:eastAsiaTheme="minorEastAsia" w:hAnsi="Invesco Interstate Light"/>
          <w:sz w:val="22"/>
          <w:szCs w:val="22"/>
        </w:rPr>
        <w:t> </w:t>
      </w:r>
      <w:r w:rsidRPr="00340AD2">
        <w:rPr>
          <w:rFonts w:ascii="Invesco Interstate Light" w:eastAsiaTheme="minorEastAsia" w:hAnsi="Invesco Interstate Light"/>
          <w:sz w:val="22"/>
          <w:szCs w:val="22"/>
        </w:rPr>
        <w:t>tím</w:t>
      </w:r>
      <w:r w:rsidRPr="00340AD2">
        <w:rPr>
          <w:rFonts w:ascii="Invesco Interstate Light" w:eastAsiaTheme="minorEastAsia" w:hAnsi="Invesco Interstate Light"/>
          <w:sz w:val="22"/>
          <w:szCs w:val="22"/>
        </w:rPr>
        <w:t>,</w:t>
      </w:r>
      <w:r w:rsidRPr="00340AD2">
        <w:rPr>
          <w:rFonts w:ascii="Invesco Interstate Light" w:eastAsiaTheme="minorEastAsia" w:hAnsi="Invesco Interstate Light"/>
          <w:sz w:val="22"/>
          <w:szCs w:val="22"/>
        </w:rPr>
        <w:t xml:space="preserve"> jak Trump zmenšuje vládu a podporuje zaměstnance v soukromém sektoru.</w:t>
      </w:r>
    </w:p>
    <w:p w14:paraId="33D39317" w14:textId="77777777" w:rsidR="00340AD2" w:rsidRDefault="00340AD2" w:rsidP="00340AD2"/>
    <w:p w14:paraId="01317817" w14:textId="77777777" w:rsidR="00340AD2" w:rsidRPr="00340AD2" w:rsidRDefault="00340AD2" w:rsidP="00ED16FE">
      <w:pPr>
        <w:spacing w:line="276" w:lineRule="auto"/>
        <w:jc w:val="both"/>
        <w:rPr>
          <w:rFonts w:ascii="Invesco Interstate Light" w:eastAsiaTheme="minorEastAsia" w:hAnsi="Invesco Interstate Light"/>
          <w:sz w:val="22"/>
          <w:szCs w:val="22"/>
        </w:rPr>
      </w:pPr>
      <w:r w:rsidRPr="00340AD2">
        <w:rPr>
          <w:rFonts w:ascii="Invesco Interstate Light" w:eastAsiaTheme="minorEastAsia" w:hAnsi="Invesco Interstate Light"/>
          <w:sz w:val="22"/>
          <w:szCs w:val="22"/>
        </w:rPr>
        <w:t xml:space="preserve">Sledujte také směnné kurzy i úrokové diferenciály. Některé centrální banky pokračují ve snižování sazeb, zatímco Fed zřejmě spíše přeruší svou činnost možná až do léta, ačkoli inflace (v obou směrech) by mohla hrát významnou roli při rozhodování </w:t>
      </w:r>
      <w:proofErr w:type="spellStart"/>
      <w:r w:rsidRPr="00340AD2">
        <w:rPr>
          <w:rFonts w:ascii="Invesco Interstate Light" w:eastAsiaTheme="minorEastAsia" w:hAnsi="Invesco Interstate Light"/>
          <w:sz w:val="22"/>
          <w:szCs w:val="22"/>
        </w:rPr>
        <w:t>Fedu</w:t>
      </w:r>
      <w:proofErr w:type="spellEnd"/>
      <w:r w:rsidRPr="00340AD2">
        <w:rPr>
          <w:rFonts w:ascii="Invesco Interstate Light" w:eastAsiaTheme="minorEastAsia" w:hAnsi="Invesco Interstate Light"/>
          <w:sz w:val="22"/>
          <w:szCs w:val="22"/>
        </w:rPr>
        <w:t>.</w:t>
      </w:r>
    </w:p>
    <w:p w14:paraId="61D8B2BD" w14:textId="61186FC6" w:rsidR="00340AD2" w:rsidRPr="005B584C" w:rsidRDefault="00340AD2" w:rsidP="00340AD2">
      <w:pPr>
        <w:spacing w:line="276" w:lineRule="auto"/>
      </w:pPr>
      <w:r>
        <w:rPr>
          <w:rFonts w:ascii="Invesco Interstate Light" w:eastAsiaTheme="minorEastAsia" w:hAnsi="Invesco Interstate Light"/>
          <w:sz w:val="22"/>
          <w:szCs w:val="22"/>
        </w:rPr>
        <w:br/>
      </w:r>
      <w:r w:rsidRPr="00340AD2">
        <w:rPr>
          <w:rFonts w:ascii="Invesco Interstate Light" w:eastAsiaTheme="minorEastAsia" w:hAnsi="Invesco Interstate Light"/>
          <w:sz w:val="22"/>
          <w:szCs w:val="22"/>
        </w:rPr>
        <w:t>Investovat do zlata je možné například s fondem</w:t>
      </w:r>
      <w:r>
        <w:t xml:space="preserve"> </w:t>
      </w:r>
      <w:hyperlink r:id="rId14" w:history="1">
        <w:proofErr w:type="spellStart"/>
        <w:r w:rsidRPr="00340AD2">
          <w:rPr>
            <w:rStyle w:val="Hypertextovodkaz"/>
            <w:sz w:val="22"/>
            <w:szCs w:val="22"/>
          </w:rPr>
          <w:t>Invesco</w:t>
        </w:r>
        <w:proofErr w:type="spellEnd"/>
        <w:r w:rsidRPr="00340AD2">
          <w:rPr>
            <w:rStyle w:val="Hypertextovodkaz"/>
            <w:sz w:val="22"/>
            <w:szCs w:val="22"/>
          </w:rPr>
          <w:t xml:space="preserve"> </w:t>
        </w:r>
        <w:proofErr w:type="spellStart"/>
        <w:r w:rsidRPr="00340AD2">
          <w:rPr>
            <w:rStyle w:val="Hypertextovodkaz"/>
            <w:sz w:val="22"/>
            <w:szCs w:val="22"/>
          </w:rPr>
          <w:t>Physical</w:t>
        </w:r>
        <w:proofErr w:type="spellEnd"/>
        <w:r w:rsidRPr="00340AD2">
          <w:rPr>
            <w:rStyle w:val="Hypertextovodkaz"/>
            <w:sz w:val="22"/>
            <w:szCs w:val="22"/>
          </w:rPr>
          <w:t xml:space="preserve"> Gold ETC</w:t>
        </w:r>
        <w:r w:rsidRPr="005B584C">
          <w:rPr>
            <w:rStyle w:val="Hypertextovodkaz"/>
          </w:rPr>
          <w:t>.</w:t>
        </w:r>
      </w:hyperlink>
    </w:p>
    <w:p w14:paraId="2FF5D2C2" w14:textId="77777777" w:rsidR="00340AD2" w:rsidRDefault="00340AD2" w:rsidP="00651AAE">
      <w:pPr>
        <w:autoSpaceDE w:val="0"/>
        <w:autoSpaceDN w:val="0"/>
        <w:adjustRightInd w:val="0"/>
        <w:spacing w:line="240" w:lineRule="auto"/>
        <w:rPr>
          <w:rFonts w:ascii="Invesco Interstate Light" w:eastAsiaTheme="minorEastAsia" w:hAnsi="Invesco Interstate Light"/>
          <w:sz w:val="22"/>
          <w:szCs w:val="22"/>
        </w:rPr>
      </w:pPr>
    </w:p>
    <w:p w14:paraId="22EA1037"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7963B4A0" w14:textId="0DD0EB93"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11552B8"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A13023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64983C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3D512F50"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E90F34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49D1646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10672A8"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F694E5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5EEC84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24872AFC"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7088C66F"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A3175B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w:t>
      </w:r>
      <w:proofErr w:type="gramStart"/>
      <w:r w:rsidRPr="00654055">
        <w:rPr>
          <w:rFonts w:ascii="Invesco Interstate Light" w:hAnsi="Invesco Interstate Light"/>
          <w:sz w:val="22"/>
          <w:szCs w:val="22"/>
        </w:rPr>
        <w:t>GmbH- jsou</w:t>
      </w:r>
      <w:proofErr w:type="gramEnd"/>
      <w:r w:rsidRPr="00654055">
        <w:rPr>
          <w:rFonts w:ascii="Invesco Interstate Light" w:hAnsi="Invesco Interstate Light"/>
          <w:sz w:val="22"/>
          <w:szCs w:val="22"/>
        </w:rPr>
        <w:t xml:space="preserve"> součástí Invesco Ltd., </w:t>
      </w:r>
    </w:p>
    <w:p w14:paraId="667D4B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FB67CE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6E1C7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EB0C01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DC60CB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71E2CAE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248FEF5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 </w:t>
      </w:r>
    </w:p>
    <w:p w14:paraId="40DEB9FF"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B9245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7571CBA3"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99E1A36" w14:textId="77777777" w:rsidR="00861B48" w:rsidRPr="00861B48" w:rsidRDefault="00861B48" w:rsidP="00861B48">
      <w:pPr>
        <w:spacing w:line="240" w:lineRule="auto"/>
        <w:rPr>
          <w:rFonts w:ascii="Invesco Interstate Light" w:hAnsi="Invesco Interstate Light"/>
          <w:b/>
          <w:sz w:val="22"/>
          <w:szCs w:val="22"/>
          <w:u w:val="single"/>
        </w:rPr>
      </w:pPr>
    </w:p>
    <w:p w14:paraId="316055F8"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7CEE874"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7B8906B" w14:textId="77777777" w:rsidR="002355DD" w:rsidRPr="00873CBF" w:rsidRDefault="002355DD" w:rsidP="002355DD">
      <w:pPr>
        <w:spacing w:line="240" w:lineRule="exact"/>
        <w:rPr>
          <w:rFonts w:ascii="Invesco Interstate Light" w:hAnsi="Invesco Interstate Light"/>
          <w:sz w:val="22"/>
          <w:szCs w:val="22"/>
        </w:rPr>
      </w:pPr>
    </w:p>
    <w:p w14:paraId="3E89306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01225CD"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4340E92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C3DB2DF"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5" w:history="1">
        <w:r w:rsidRPr="00873CBF">
          <w:rPr>
            <w:rFonts w:ascii="Invesco Interstate Light" w:hAnsi="Invesco Interstate Light"/>
            <w:sz w:val="22"/>
            <w:szCs w:val="22"/>
          </w:rPr>
          <w:t>eliska.krohova@crestcom.cz</w:t>
        </w:r>
      </w:hyperlink>
    </w:p>
    <w:sectPr w:rsidR="002355DD" w:rsidRPr="00907B79" w:rsidSect="00AD7532">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EA08" w14:textId="77777777" w:rsidR="00EB0A40" w:rsidRDefault="00EB0A40">
      <w:r>
        <w:separator/>
      </w:r>
    </w:p>
  </w:endnote>
  <w:endnote w:type="continuationSeparator" w:id="0">
    <w:p w14:paraId="5A3F67F6" w14:textId="77777777" w:rsidR="00EB0A40" w:rsidRDefault="00EB0A40">
      <w:r>
        <w:continuationSeparator/>
      </w:r>
    </w:p>
  </w:endnote>
  <w:endnote w:type="continuationNotice" w:id="1">
    <w:p w14:paraId="65628BE9" w14:textId="77777777" w:rsidR="00EB0A40" w:rsidRDefault="00EB0A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77C35" w14:textId="77777777" w:rsidR="00EB0A40" w:rsidRDefault="00EB0A40">
      <w:r>
        <w:separator/>
      </w:r>
    </w:p>
  </w:footnote>
  <w:footnote w:type="continuationSeparator" w:id="0">
    <w:p w14:paraId="0998A69D" w14:textId="77777777" w:rsidR="00EB0A40" w:rsidRDefault="00EB0A40">
      <w:r>
        <w:continuationSeparator/>
      </w:r>
    </w:p>
  </w:footnote>
  <w:footnote w:type="continuationNotice" w:id="1">
    <w:p w14:paraId="6FBABF53" w14:textId="77777777" w:rsidR="00EB0A40" w:rsidRDefault="00EB0A4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460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749CF26B" wp14:editId="440CF43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AE10210"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5191993" w14:textId="7D4110E1" w:rsidR="00702C33" w:rsidRPr="000730A6" w:rsidRDefault="006344BC" w:rsidP="0083625E">
    <w:pPr>
      <w:pStyle w:val="Zhlav"/>
      <w:pBdr>
        <w:top w:val="single" w:sz="4" w:space="3" w:color="auto"/>
      </w:pBdr>
      <w:spacing w:line="298" w:lineRule="exact"/>
      <w:ind w:left="3402"/>
      <w:jc w:val="right"/>
      <w:rPr>
        <w:color w:val="000000"/>
        <w:sz w:val="28"/>
        <w:szCs w:val="28"/>
      </w:rPr>
    </w:pPr>
    <w:r>
      <w:rPr>
        <w:color w:val="000000"/>
        <w:sz w:val="28"/>
        <w:szCs w:val="28"/>
      </w:rPr>
      <w:t>20</w:t>
    </w:r>
    <w:r w:rsidR="0083625E">
      <w:rPr>
        <w:color w:val="000000"/>
        <w:sz w:val="28"/>
        <w:szCs w:val="28"/>
      </w:rPr>
      <w:t>.</w:t>
    </w:r>
    <w:r>
      <w:rPr>
        <w:color w:val="000000"/>
        <w:sz w:val="28"/>
        <w:szCs w:val="28"/>
      </w:rPr>
      <w:t>02</w:t>
    </w:r>
    <w:r w:rsidR="0083625E">
      <w:rPr>
        <w:color w:val="000000"/>
        <w:sz w:val="28"/>
        <w:szCs w:val="28"/>
      </w:rPr>
      <w:t>.202</w:t>
    </w:r>
    <w:r>
      <w:rPr>
        <w:color w:val="000000"/>
        <w:sz w:val="28"/>
        <w:szCs w:val="28"/>
      </w:rPr>
      <w:t>5</w:t>
    </w:r>
  </w:p>
  <w:p w14:paraId="2EF6D64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E86116B"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8570A3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30B43C"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0610">
    <w:abstractNumId w:val="0"/>
  </w:num>
  <w:num w:numId="2" w16cid:durableId="1235897718">
    <w:abstractNumId w:val="16"/>
  </w:num>
  <w:num w:numId="3" w16cid:durableId="1665619119">
    <w:abstractNumId w:val="28"/>
  </w:num>
  <w:num w:numId="4" w16cid:durableId="297997930">
    <w:abstractNumId w:val="18"/>
  </w:num>
  <w:num w:numId="5" w16cid:durableId="454373857">
    <w:abstractNumId w:val="22"/>
  </w:num>
  <w:num w:numId="6" w16cid:durableId="2115781780">
    <w:abstractNumId w:val="32"/>
  </w:num>
  <w:num w:numId="7" w16cid:durableId="2108038758">
    <w:abstractNumId w:val="33"/>
  </w:num>
  <w:num w:numId="8" w16cid:durableId="1739204262">
    <w:abstractNumId w:val="1"/>
  </w:num>
  <w:num w:numId="9" w16cid:durableId="1204907758">
    <w:abstractNumId w:val="36"/>
  </w:num>
  <w:num w:numId="10" w16cid:durableId="808939437">
    <w:abstractNumId w:val="14"/>
  </w:num>
  <w:num w:numId="11" w16cid:durableId="120616158">
    <w:abstractNumId w:val="4"/>
  </w:num>
  <w:num w:numId="12" w16cid:durableId="98154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40007">
    <w:abstractNumId w:val="41"/>
  </w:num>
  <w:num w:numId="14" w16cid:durableId="1942100812">
    <w:abstractNumId w:val="42"/>
  </w:num>
  <w:num w:numId="15" w16cid:durableId="1001858560">
    <w:abstractNumId w:val="27"/>
  </w:num>
  <w:num w:numId="16" w16cid:durableId="1245188152">
    <w:abstractNumId w:val="7"/>
  </w:num>
  <w:num w:numId="17" w16cid:durableId="1957171661">
    <w:abstractNumId w:val="2"/>
  </w:num>
  <w:num w:numId="18" w16cid:durableId="1016226022">
    <w:abstractNumId w:val="31"/>
  </w:num>
  <w:num w:numId="19" w16cid:durableId="77559002">
    <w:abstractNumId w:val="34"/>
  </w:num>
  <w:num w:numId="20" w16cid:durableId="1150288293">
    <w:abstractNumId w:val="39"/>
  </w:num>
  <w:num w:numId="21" w16cid:durableId="87428761">
    <w:abstractNumId w:val="38"/>
  </w:num>
  <w:num w:numId="22" w16cid:durableId="767428867">
    <w:abstractNumId w:val="13"/>
  </w:num>
  <w:num w:numId="23" w16cid:durableId="1329290631">
    <w:abstractNumId w:val="26"/>
  </w:num>
  <w:num w:numId="24" w16cid:durableId="1682780012">
    <w:abstractNumId w:val="20"/>
  </w:num>
  <w:num w:numId="25" w16cid:durableId="1685858533">
    <w:abstractNumId w:val="40"/>
  </w:num>
  <w:num w:numId="26" w16cid:durableId="1679578080">
    <w:abstractNumId w:val="25"/>
  </w:num>
  <w:num w:numId="27" w16cid:durableId="2107579476">
    <w:abstractNumId w:val="3"/>
  </w:num>
  <w:num w:numId="28" w16cid:durableId="71391908">
    <w:abstractNumId w:val="6"/>
  </w:num>
  <w:num w:numId="29" w16cid:durableId="1610241132">
    <w:abstractNumId w:val="37"/>
  </w:num>
  <w:num w:numId="30" w16cid:durableId="93064666">
    <w:abstractNumId w:val="23"/>
  </w:num>
  <w:num w:numId="31" w16cid:durableId="1078792397">
    <w:abstractNumId w:val="24"/>
  </w:num>
  <w:num w:numId="32" w16cid:durableId="1096293691">
    <w:abstractNumId w:val="8"/>
  </w:num>
  <w:num w:numId="33" w16cid:durableId="779229594">
    <w:abstractNumId w:val="35"/>
  </w:num>
  <w:num w:numId="34" w16cid:durableId="991713737">
    <w:abstractNumId w:val="17"/>
  </w:num>
  <w:num w:numId="35" w16cid:durableId="1598294629">
    <w:abstractNumId w:val="11"/>
  </w:num>
  <w:num w:numId="36" w16cid:durableId="889608307">
    <w:abstractNumId w:val="10"/>
  </w:num>
  <w:num w:numId="37" w16cid:durableId="286012968">
    <w:abstractNumId w:val="15"/>
  </w:num>
  <w:num w:numId="38" w16cid:durableId="1233078563">
    <w:abstractNumId w:val="19"/>
  </w:num>
  <w:num w:numId="39" w16cid:durableId="2090275536">
    <w:abstractNumId w:val="5"/>
  </w:num>
  <w:num w:numId="40" w16cid:durableId="993409479">
    <w:abstractNumId w:val="29"/>
  </w:num>
  <w:num w:numId="41" w16cid:durableId="548418771">
    <w:abstractNumId w:val="21"/>
  </w:num>
  <w:num w:numId="42" w16cid:durableId="2102337149">
    <w:abstractNumId w:val="12"/>
  </w:num>
  <w:num w:numId="43" w16cid:durableId="331102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3D2D"/>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383"/>
    <w:rsid w:val="000624E0"/>
    <w:rsid w:val="00062745"/>
    <w:rsid w:val="00062962"/>
    <w:rsid w:val="00062D45"/>
    <w:rsid w:val="0006346E"/>
    <w:rsid w:val="00064574"/>
    <w:rsid w:val="0006482A"/>
    <w:rsid w:val="00065720"/>
    <w:rsid w:val="000663E7"/>
    <w:rsid w:val="000664FB"/>
    <w:rsid w:val="000675C1"/>
    <w:rsid w:val="00067B66"/>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C38"/>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0D3B"/>
    <w:rsid w:val="000F1147"/>
    <w:rsid w:val="000F1664"/>
    <w:rsid w:val="000F27EA"/>
    <w:rsid w:val="000F2BA0"/>
    <w:rsid w:val="000F3D0A"/>
    <w:rsid w:val="000F5121"/>
    <w:rsid w:val="000F59D5"/>
    <w:rsid w:val="000F5AE7"/>
    <w:rsid w:val="000F5B88"/>
    <w:rsid w:val="000F68A9"/>
    <w:rsid w:val="000F6C17"/>
    <w:rsid w:val="000F73D4"/>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56D"/>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B7613"/>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D6FB6"/>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8D3"/>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46E"/>
    <w:rsid w:val="00261877"/>
    <w:rsid w:val="002618F8"/>
    <w:rsid w:val="002622F0"/>
    <w:rsid w:val="002625CC"/>
    <w:rsid w:val="00262A62"/>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3C7C"/>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4987"/>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0AD2"/>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332A"/>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3EEC"/>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1E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184C"/>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895"/>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6F45"/>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241"/>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52"/>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1EF9"/>
    <w:rsid w:val="00632AF8"/>
    <w:rsid w:val="00633022"/>
    <w:rsid w:val="006337A7"/>
    <w:rsid w:val="006344BC"/>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4C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1C4A"/>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5FF"/>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2CD8"/>
    <w:rsid w:val="00806A88"/>
    <w:rsid w:val="00807036"/>
    <w:rsid w:val="00807B33"/>
    <w:rsid w:val="008109D2"/>
    <w:rsid w:val="0081141D"/>
    <w:rsid w:val="00811497"/>
    <w:rsid w:val="008119B0"/>
    <w:rsid w:val="00811E63"/>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587"/>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5B5E"/>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3D96"/>
    <w:rsid w:val="0091415F"/>
    <w:rsid w:val="00915596"/>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2CD"/>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26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B19"/>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0D1D"/>
    <w:rsid w:val="00B816AB"/>
    <w:rsid w:val="00B81A3E"/>
    <w:rsid w:val="00B82A3C"/>
    <w:rsid w:val="00B82D60"/>
    <w:rsid w:val="00B83181"/>
    <w:rsid w:val="00B83DFB"/>
    <w:rsid w:val="00B83E44"/>
    <w:rsid w:val="00B84405"/>
    <w:rsid w:val="00B84BA9"/>
    <w:rsid w:val="00B84DD1"/>
    <w:rsid w:val="00B86014"/>
    <w:rsid w:val="00B87CFF"/>
    <w:rsid w:val="00B9073D"/>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4DB"/>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056"/>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43D"/>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353"/>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3DAB"/>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67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244"/>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A4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6FE"/>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A3"/>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BCD"/>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0B5"/>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D76"/>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61E6"/>
  <w15:docId w15:val="{E558B341-75A0-4911-8E65-97F573F7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63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vesco.com/cz/en/funds.html?_ga=2.228890268.1814235512.1688370391-1439381751.16629904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1024</Words>
  <Characters>6042</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9</cp:revision>
  <cp:lastPrinted>2021-02-17T20:24:00Z</cp:lastPrinted>
  <dcterms:created xsi:type="dcterms:W3CDTF">2025-02-20T12:39:00Z</dcterms:created>
  <dcterms:modified xsi:type="dcterms:W3CDTF">2025-02-20T12:54:00Z</dcterms:modified>
</cp:coreProperties>
</file>