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FB04" w14:textId="53FEFDC4" w:rsidR="00132B08" w:rsidRPr="009C5A9F" w:rsidRDefault="00FB571B" w:rsidP="00132B08">
      <w:pPr>
        <w:pStyle w:val="Nadpis1"/>
        <w:jc w:val="both"/>
        <w:rPr>
          <w:rFonts w:ascii="Verdana" w:hAnsi="Verdana"/>
          <w:sz w:val="28"/>
          <w:szCs w:val="28"/>
        </w:rPr>
      </w:pPr>
      <w:r w:rsidRPr="009C5A9F">
        <w:rPr>
          <w:rFonts w:ascii="Verdana" w:hAnsi="Verdana"/>
          <w:noProof/>
          <w:sz w:val="28"/>
          <w:szCs w:val="28"/>
        </w:rPr>
        <mc:AlternateContent>
          <mc:Choice Requires="wps">
            <w:drawing>
              <wp:anchor distT="45720" distB="107950" distL="114300" distR="114300" simplePos="0" relativeHeight="251589632" behindDoc="0" locked="0" layoutInCell="1" allowOverlap="1" wp14:anchorId="7037499E" wp14:editId="1083049F">
                <wp:simplePos x="0" y="0"/>
                <wp:positionH relativeFrom="margin">
                  <wp:align>right</wp:align>
                </wp:positionH>
                <wp:positionV relativeFrom="paragraph">
                  <wp:posOffset>708025</wp:posOffset>
                </wp:positionV>
                <wp:extent cx="6637020" cy="12268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226820"/>
                        </a:xfrm>
                        <a:prstGeom prst="rect">
                          <a:avLst/>
                        </a:prstGeom>
                        <a:gradFill flip="none" rotWithShape="1">
                          <a:gsLst>
                            <a:gs pos="0">
                              <a:srgbClr val="FFC832"/>
                            </a:gs>
                            <a:gs pos="100000">
                              <a:srgbClr val="FFD82C">
                                <a:alpha val="15000"/>
                              </a:srgbClr>
                            </a:gs>
                          </a:gsLst>
                          <a:lin ang="18900000" scaled="1"/>
                          <a:tileRect/>
                        </a:gradFill>
                        <a:ln w="3175" cap="flat">
                          <a:noFill/>
                          <a:miter lim="800000"/>
                          <a:headEnd/>
                          <a:tailEnd/>
                        </a:ln>
                      </wps:spPr>
                      <wps:txbx>
                        <w:txbxContent>
                          <w:p w14:paraId="5BED09BD" w14:textId="14ECBE17" w:rsidR="00330297"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Americké prezidentské volby mají potenciál výrazně ovlivnit globální ekonomiku i finanční trhy</w:t>
                            </w:r>
                          </w:p>
                          <w:p w14:paraId="594526E2" w14:textId="7D370527" w:rsidR="00FB7BEC"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Oba pravděpodobní kandidáti – Trump a Harrisová – slibují zcela odlišnou politiku</w:t>
                            </w:r>
                          </w:p>
                          <w:p w14:paraId="59F4A408" w14:textId="295E93B7" w:rsidR="00330297"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Pro evropskou a českou ekonomiku se jako dramaticky lákavější volba jeví Harrisová</w:t>
                            </w:r>
                          </w:p>
                          <w:p w14:paraId="089C241F" w14:textId="5B880939" w:rsidR="00330297"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Naopak Trump by byl lepší volbou pro akcie, zvláště pak menších firem, těžařů či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7499E" id="_x0000_t202" coordsize="21600,21600" o:spt="202" path="m,l,21600r21600,l21600,xe">
                <v:stroke joinstyle="miter"/>
                <v:path gradientshapeok="t" o:connecttype="rect"/>
              </v:shapetype>
              <v:shape id="Textové pole 2" o:spid="_x0000_s1026" type="#_x0000_t202" style="position:absolute;left:0;text-align:left;margin-left:471.4pt;margin-top:55.75pt;width:522.6pt;height:96.6pt;z-index:251589632;visibility:visible;mso-wrap-style:square;mso-width-percent:0;mso-height-percent:0;mso-wrap-distance-left:9pt;mso-wrap-distance-top:3.6pt;mso-wrap-distance-right:9pt;mso-wrap-distance-bottom:8.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" fillcolor="#ffc832" stroked="f" strokeweight=".25pt">
                <v:fill color2="#ffd82c" o:opacity2="9830f" rotate="t" angle="135" focus="100%" type="gradient"/>
                <v:textbox>
                  <w:txbxContent>
                    <w:p w14:paraId="5BED09BD" w14:textId="14ECBE17" w:rsidR="00330297"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Americké prezidentské volby mají potenciál výrazně ovlivnit globální ekonomiku i finanční trhy</w:t>
                      </w:r>
                    </w:p>
                    <w:p w14:paraId="594526E2" w14:textId="7D370527" w:rsidR="00FB7BEC"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Oba pravděpodobní kandidáti – Trump a Harrisová – slibují zcela odlišnou politiku</w:t>
                      </w:r>
                    </w:p>
                    <w:p w14:paraId="59F4A408" w14:textId="295E93B7" w:rsidR="00330297"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Pro evropskou a českou ekonomiku se jako dramaticky lákavější volba jeví Harrisová</w:t>
                      </w:r>
                    </w:p>
                    <w:p w14:paraId="089C241F" w14:textId="5B880939" w:rsidR="00330297" w:rsidRDefault="00FB7BEC"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Naopak Trump by byl lepší volbou pro akcie, zvláště pak menších firem, těžařů či bank</w:t>
                      </w:r>
                    </w:p>
                  </w:txbxContent>
                </v:textbox>
                <w10:wrap type="square" anchorx="margin"/>
              </v:shape>
            </w:pict>
          </mc:Fallback>
        </mc:AlternateContent>
      </w:r>
      <w:r w:rsidR="00A56B04" w:rsidRPr="00295B81">
        <w:rPr>
          <w:rFonts w:ascii="Verdana" w:hAnsi="Verdana"/>
          <w:noProof/>
          <w:sz w:val="28"/>
          <w:szCs w:val="28"/>
        </w:rPr>
        <mc:AlternateContent>
          <mc:Choice Requires="wps">
            <w:drawing>
              <wp:anchor distT="45720" distB="45720" distL="114300" distR="114300" simplePos="0" relativeHeight="251643904" behindDoc="0" locked="0" layoutInCell="1" allowOverlap="1" wp14:anchorId="11F14A89" wp14:editId="61871718">
                <wp:simplePos x="0" y="0"/>
                <wp:positionH relativeFrom="margin">
                  <wp:align>right</wp:align>
                </wp:positionH>
                <wp:positionV relativeFrom="paragraph">
                  <wp:posOffset>273685</wp:posOffset>
                </wp:positionV>
                <wp:extent cx="6637020" cy="441960"/>
                <wp:effectExtent l="0" t="0" r="0" b="0"/>
                <wp:wrapSquare wrapText="bothSides"/>
                <wp:docPr id="7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441960"/>
                        </a:xfrm>
                        <a:prstGeom prst="rect">
                          <a:avLst/>
                        </a:prstGeom>
                        <a:solidFill>
                          <a:srgbClr val="FFFFFF"/>
                        </a:solidFill>
                        <a:ln w="9525">
                          <a:noFill/>
                          <a:miter lim="800000"/>
                          <a:headEnd/>
                          <a:tailEnd/>
                        </a:ln>
                      </wps:spPr>
                      <wps:txbx>
                        <w:txbxContent>
                          <w:p w14:paraId="3A62F745" w14:textId="3C0C09C4" w:rsidR="00330297" w:rsidRDefault="00330297" w:rsidP="008B1E2B">
                            <w:pPr>
                              <w:spacing w:after="80" w:line="240" w:lineRule="auto"/>
                              <w:rPr>
                                <w:rFonts w:ascii="Verdana" w:hAnsi="Verdana"/>
                              </w:rPr>
                            </w:pPr>
                            <w:r>
                              <w:rPr>
                                <w:rFonts w:ascii="Verdana" w:hAnsi="Verdana"/>
                              </w:rPr>
                              <w:t>Vít Hradil, hlavní ekonom</w:t>
                            </w:r>
                          </w:p>
                          <w:p w14:paraId="34DF79B3" w14:textId="104278DD" w:rsidR="00FB571B" w:rsidRDefault="00FB571B" w:rsidP="008B1E2B">
                            <w:pPr>
                              <w:spacing w:after="80" w:line="240" w:lineRule="auto"/>
                              <w:rPr>
                                <w:rFonts w:ascii="Verdana" w:hAnsi="Verdana"/>
                              </w:rPr>
                            </w:pPr>
                            <w:r>
                              <w:rPr>
                                <w:rFonts w:ascii="Verdana" w:hAnsi="Verdana"/>
                              </w:rPr>
                              <w:t>Tomáš Pfeiler, portfolio manažer</w:t>
                            </w:r>
                          </w:p>
                          <w:p w14:paraId="7D8F0F40" w14:textId="77777777" w:rsidR="00FB571B" w:rsidRPr="004874EA" w:rsidRDefault="00FB571B" w:rsidP="008B1E2B">
                            <w:pPr>
                              <w:spacing w:after="80" w:line="240" w:lineRule="auto"/>
                              <w:rPr>
                                <w:rFonts w:ascii="Verdana" w:hAnsi="Verdana"/>
                              </w:rPr>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4A89" id="_x0000_s1027" type="#_x0000_t202" style="position:absolute;left:0;text-align:left;margin-left:471.4pt;margin-top:21.55pt;width:522.6pt;height:34.8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" stroked="f">
                <v:textbox inset="0">
                  <w:txbxContent>
                    <w:p w14:paraId="3A62F745" w14:textId="3C0C09C4" w:rsidR="00330297" w:rsidRDefault="00330297" w:rsidP="008B1E2B">
                      <w:pPr>
                        <w:spacing w:after="80" w:line="240" w:lineRule="auto"/>
                        <w:rPr>
                          <w:rFonts w:ascii="Verdana" w:hAnsi="Verdana"/>
                        </w:rPr>
                      </w:pPr>
                      <w:r>
                        <w:rPr>
                          <w:rFonts w:ascii="Verdana" w:hAnsi="Verdana"/>
                        </w:rPr>
                        <w:t>Vít Hradil, hlavní ekonom</w:t>
                      </w:r>
                    </w:p>
                    <w:p w14:paraId="34DF79B3" w14:textId="104278DD" w:rsidR="00FB571B" w:rsidRDefault="00FB571B" w:rsidP="008B1E2B">
                      <w:pPr>
                        <w:spacing w:after="80" w:line="240" w:lineRule="auto"/>
                        <w:rPr>
                          <w:rFonts w:ascii="Verdana" w:hAnsi="Verdana"/>
                        </w:rPr>
                      </w:pPr>
                      <w:r>
                        <w:rPr>
                          <w:rFonts w:ascii="Verdana" w:hAnsi="Verdana"/>
                        </w:rPr>
                        <w:t>Tomáš Pfeiler, portfolio manažer</w:t>
                      </w:r>
                    </w:p>
                    <w:p w14:paraId="7D8F0F40" w14:textId="77777777" w:rsidR="00FB571B" w:rsidRPr="004874EA" w:rsidRDefault="00FB571B" w:rsidP="008B1E2B">
                      <w:pPr>
                        <w:spacing w:after="80" w:line="240" w:lineRule="auto"/>
                        <w:rPr>
                          <w:rFonts w:ascii="Verdana" w:hAnsi="Verdana"/>
                        </w:rPr>
                      </w:pPr>
                    </w:p>
                  </w:txbxContent>
                </v:textbox>
                <w10:wrap type="square" anchorx="margin"/>
              </v:shape>
            </w:pict>
          </mc:Fallback>
        </mc:AlternateContent>
      </w:r>
      <w:r w:rsidR="00FB7BEC">
        <w:rPr>
          <w:rFonts w:ascii="Verdana" w:hAnsi="Verdana"/>
          <w:sz w:val="28"/>
          <w:szCs w:val="28"/>
        </w:rPr>
        <w:t>Ekonomické implikace amerických voleb</w:t>
      </w:r>
      <w:r w:rsidR="00B0141D">
        <w:rPr>
          <w:rFonts w:ascii="Verdana" w:hAnsi="Verdana"/>
          <w:sz w:val="28"/>
          <w:szCs w:val="28"/>
        </w:rPr>
        <w:t xml:space="preserve"> </w:t>
      </w:r>
    </w:p>
    <w:p w14:paraId="3AE9F18D" w14:textId="07FE1AFA" w:rsidR="008D657D" w:rsidRDefault="00B0141D" w:rsidP="008D657D">
      <w:pPr>
        <w:pStyle w:val="Nadpis3"/>
        <w:spacing w:before="120" w:after="160" w:line="240" w:lineRule="auto"/>
        <w:jc w:val="both"/>
        <w:rPr>
          <w:rFonts w:ascii="Verdana" w:hAnsi="Verdana"/>
          <w:sz w:val="20"/>
        </w:rPr>
      </w:pPr>
      <w:r>
        <w:rPr>
          <w:rFonts w:ascii="Verdana" w:hAnsi="Verdana"/>
          <w:sz w:val="20"/>
        </w:rPr>
        <w:t>Dne 5. listopadu 2024 se ve Spojených státech uskuteční</w:t>
      </w:r>
      <w:r w:rsidR="00FB7BEC">
        <w:rPr>
          <w:rFonts w:ascii="Verdana" w:hAnsi="Verdana"/>
          <w:sz w:val="20"/>
        </w:rPr>
        <w:t xml:space="preserve"> prezidentské</w:t>
      </w:r>
      <w:r>
        <w:rPr>
          <w:rFonts w:ascii="Verdana" w:hAnsi="Verdana"/>
          <w:sz w:val="20"/>
        </w:rPr>
        <w:t xml:space="preserve"> volby</w:t>
      </w:r>
      <w:r w:rsidR="00FB7BEC">
        <w:rPr>
          <w:rFonts w:ascii="Verdana" w:hAnsi="Verdana"/>
          <w:sz w:val="20"/>
        </w:rPr>
        <w:t xml:space="preserve">. </w:t>
      </w:r>
      <w:r>
        <w:rPr>
          <w:rFonts w:ascii="Verdana" w:hAnsi="Verdana"/>
          <w:sz w:val="20"/>
        </w:rPr>
        <w:t xml:space="preserve">S největší pravděpodobností se v nich utká Donald Trump, jako kandidát republikánské strany, a Kamala Harrisová, jako zástupkyně demokratické strany. </w:t>
      </w:r>
      <w:r w:rsidRPr="00FB7BEC">
        <w:rPr>
          <w:rFonts w:ascii="Verdana" w:hAnsi="Verdana"/>
          <w:b/>
          <w:sz w:val="20"/>
        </w:rPr>
        <w:t xml:space="preserve">Vzhledem k dominantnímu postavení USA ve světové ekonomice má volba amerického prezidenta potenciál ovlivnit </w:t>
      </w:r>
      <w:r w:rsidR="009856FF" w:rsidRPr="00FB7BEC">
        <w:rPr>
          <w:rFonts w:ascii="Verdana" w:hAnsi="Verdana"/>
          <w:b/>
          <w:sz w:val="20"/>
        </w:rPr>
        <w:t xml:space="preserve">dění na finančních trzích i </w:t>
      </w:r>
      <w:r w:rsidRPr="00FB7BEC">
        <w:rPr>
          <w:rFonts w:ascii="Verdana" w:hAnsi="Verdana"/>
          <w:b/>
          <w:sz w:val="20"/>
        </w:rPr>
        <w:t>makroe</w:t>
      </w:r>
      <w:r w:rsidR="008D657D" w:rsidRPr="00FB7BEC">
        <w:rPr>
          <w:rFonts w:ascii="Verdana" w:hAnsi="Verdana"/>
          <w:b/>
          <w:sz w:val="20"/>
        </w:rPr>
        <w:t>konomický vývoj na celém světě</w:t>
      </w:r>
      <w:r w:rsidR="008D657D">
        <w:rPr>
          <w:rFonts w:ascii="Verdana" w:hAnsi="Verdana"/>
          <w:sz w:val="20"/>
        </w:rPr>
        <w:t>.</w:t>
      </w:r>
    </w:p>
    <w:p w14:paraId="7590A702" w14:textId="1AD45E91" w:rsidR="008D657D" w:rsidRPr="008D657D" w:rsidRDefault="008D657D" w:rsidP="008D657D">
      <w:pPr>
        <w:pStyle w:val="Nadpis3"/>
        <w:spacing w:before="120" w:after="160" w:line="240" w:lineRule="auto"/>
        <w:jc w:val="both"/>
      </w:pPr>
      <w:r>
        <w:rPr>
          <w:rFonts w:ascii="Verdana" w:hAnsi="Verdana"/>
          <w:sz w:val="20"/>
        </w:rPr>
        <w:t xml:space="preserve">V první části této analýzy se věnujeme možným </w:t>
      </w:r>
      <w:r w:rsidR="00FB7BEC">
        <w:rPr>
          <w:rFonts w:ascii="Verdana" w:hAnsi="Verdana"/>
          <w:b/>
          <w:sz w:val="20"/>
        </w:rPr>
        <w:t>dopadům</w:t>
      </w:r>
      <w:r w:rsidRPr="00FB7BEC">
        <w:rPr>
          <w:rFonts w:ascii="Verdana" w:hAnsi="Verdana"/>
          <w:b/>
          <w:sz w:val="20"/>
        </w:rPr>
        <w:t xml:space="preserve"> vítězství jednotlivých kandidátů na makroekonomický vývoj v Evropě, speciálně pak v Česku</w:t>
      </w:r>
      <w:r>
        <w:rPr>
          <w:rFonts w:ascii="Verdana" w:hAnsi="Verdana"/>
          <w:sz w:val="20"/>
        </w:rPr>
        <w:t xml:space="preserve">. Vybrali jsme 10 témat, kterými volba amerického prezidenta může Česko ovlivnit, a každému jsme přiřadili váhu podle </w:t>
      </w:r>
      <w:r w:rsidR="009856FF">
        <w:rPr>
          <w:rFonts w:ascii="Verdana" w:hAnsi="Verdana"/>
          <w:sz w:val="20"/>
        </w:rPr>
        <w:t>jeho</w:t>
      </w:r>
      <w:r>
        <w:rPr>
          <w:rFonts w:ascii="Verdana" w:hAnsi="Verdana"/>
          <w:sz w:val="20"/>
        </w:rPr>
        <w:t xml:space="preserve"> významu. Vhodnost či nevhodnost kandidátů pak posuzujeme výhradně evropskou optikou, která může být zcela odlišná od té americké, a nelze ji tedy chápat jako objektivní hodnocení.</w:t>
      </w:r>
      <w:r w:rsidR="009856FF">
        <w:rPr>
          <w:rFonts w:ascii="Verdana" w:hAnsi="Verdana"/>
          <w:sz w:val="20"/>
        </w:rPr>
        <w:t xml:space="preserve"> Ve druhé části pak analyzujeme možné </w:t>
      </w:r>
      <w:r w:rsidR="00FB7BEC">
        <w:rPr>
          <w:rFonts w:ascii="Verdana" w:hAnsi="Verdana"/>
          <w:b/>
          <w:sz w:val="20"/>
        </w:rPr>
        <w:t>důsledky</w:t>
      </w:r>
      <w:r w:rsidR="009856FF" w:rsidRPr="00FB7BEC">
        <w:rPr>
          <w:rFonts w:ascii="Verdana" w:hAnsi="Verdana"/>
          <w:b/>
          <w:sz w:val="20"/>
        </w:rPr>
        <w:t xml:space="preserve"> amerických prezidentských voleb pro finanční trh</w:t>
      </w:r>
      <w:r w:rsidR="009856FF">
        <w:rPr>
          <w:rFonts w:ascii="Verdana" w:hAnsi="Verdana"/>
          <w:sz w:val="20"/>
        </w:rPr>
        <w:t>.</w:t>
      </w:r>
    </w:p>
    <w:p w14:paraId="5E1CC049" w14:textId="77777777" w:rsidR="00FB571B" w:rsidRDefault="00FB571B" w:rsidP="00FB571B">
      <w:pPr>
        <w:spacing w:line="240" w:lineRule="auto"/>
        <w:jc w:val="both"/>
        <w:rPr>
          <w:rFonts w:ascii="Verdana" w:hAnsi="Verdana"/>
          <w:sz w:val="20"/>
          <w:szCs w:val="16"/>
          <w:lang w:eastAsia="cs-CZ"/>
        </w:rPr>
      </w:pPr>
    </w:p>
    <w:p w14:paraId="7F2DB082" w14:textId="6A66CC16"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Obchodní politika</w:t>
      </w:r>
      <w:r w:rsidRPr="00424B24">
        <w:rPr>
          <w:rFonts w:ascii="Verdana" w:hAnsi="Verdana"/>
          <w:sz w:val="20"/>
          <w:szCs w:val="16"/>
          <w:u w:val="single"/>
          <w:lang w:eastAsia="cs-CZ"/>
        </w:rPr>
        <w:t xml:space="preserve"> (20 %)</w:t>
      </w:r>
    </w:p>
    <w:p w14:paraId="16D977DF"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Spojené státy jsou nejdůležitějším vývozním trhem států Evropské unie, když jejich podíl na evropském exportu dosahuje přibližně 20 % a celkem činí přibližně 500 mld. EUR ročně. Na straně dovozu představují Spojené státy druhého nejvýznamnějšího obchodního partnera EU s podílem zhruba 14 % a objemem 350 mld. EUR.</w:t>
      </w:r>
    </w:p>
    <w:p w14:paraId="2FD8573E"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 xml:space="preserve">Trump se netají ochotou sahat k protekcionistickým ekonomickým opatřením, naproti tomu Harrisová se vyslovuje pro volnější transatlantickou ekonomickou spolupráci. </w:t>
      </w:r>
    </w:p>
    <w:p w14:paraId="1997A5F7" w14:textId="7E71FBA8"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Případné uvalení cel na evropské zboží by v závislosti na jejich výši mohlo snížit evropské i české HDP o desetiny procenta a reciproční opatření namířená na americké zboží by vedl</w:t>
      </w:r>
      <w:r w:rsidR="008D657D">
        <w:rPr>
          <w:rFonts w:ascii="Verdana" w:hAnsi="Verdana"/>
          <w:sz w:val="20"/>
          <w:szCs w:val="16"/>
          <w:lang w:eastAsia="cs-CZ"/>
        </w:rPr>
        <w:t>a</w:t>
      </w:r>
      <w:r w:rsidRPr="00FB571B">
        <w:rPr>
          <w:rFonts w:ascii="Verdana" w:hAnsi="Verdana"/>
          <w:sz w:val="20"/>
          <w:szCs w:val="16"/>
          <w:lang w:eastAsia="cs-CZ"/>
        </w:rPr>
        <w:t xml:space="preserve"> ke zvýšení inflace.</w:t>
      </w:r>
    </w:p>
    <w:p w14:paraId="69C6B04C" w14:textId="70DED1FA"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77C3EDF4" w14:textId="77777777" w:rsidR="00FB571B" w:rsidRDefault="00FB571B" w:rsidP="00FB571B">
      <w:pPr>
        <w:spacing w:line="240" w:lineRule="auto"/>
        <w:jc w:val="both"/>
        <w:rPr>
          <w:rFonts w:ascii="Verdana" w:hAnsi="Verdana"/>
          <w:sz w:val="20"/>
          <w:szCs w:val="16"/>
          <w:lang w:eastAsia="cs-CZ"/>
        </w:rPr>
      </w:pPr>
    </w:p>
    <w:p w14:paraId="06663CF6" w14:textId="0FAF610D"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 xml:space="preserve">NATO </w:t>
      </w:r>
      <w:r w:rsidRPr="00424B24">
        <w:rPr>
          <w:rFonts w:ascii="Verdana" w:hAnsi="Verdana"/>
          <w:sz w:val="20"/>
          <w:szCs w:val="16"/>
          <w:u w:val="single"/>
          <w:lang w:eastAsia="cs-CZ"/>
        </w:rPr>
        <w:t>(15 %)</w:t>
      </w:r>
    </w:p>
    <w:p w14:paraId="1B3D6BAE"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Severoatlantická aliance je nejmocnějším vojenským spojenectvím v historii. Jeho samotná existence funguje jako klíčový obranný prvek evropských zemí i v době, kdy nevyvíjí žádnou bojovou aktivitu. Tím přispívá k ekonomické stabilitě a umožňuje alokovat prostředky do jiných oblastí.</w:t>
      </w:r>
    </w:p>
    <w:p w14:paraId="1E58C289" w14:textId="3B3A8A7D"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 opakovaně rétoricky zpochybň</w:t>
      </w:r>
      <w:r w:rsidR="008D657D">
        <w:rPr>
          <w:rFonts w:ascii="Verdana" w:hAnsi="Verdana"/>
          <w:sz w:val="20"/>
          <w:szCs w:val="16"/>
          <w:lang w:eastAsia="cs-CZ"/>
        </w:rPr>
        <w:t>uje</w:t>
      </w:r>
      <w:r w:rsidRPr="00FB571B">
        <w:rPr>
          <w:rFonts w:ascii="Verdana" w:hAnsi="Verdana"/>
          <w:sz w:val="20"/>
          <w:szCs w:val="16"/>
          <w:lang w:eastAsia="cs-CZ"/>
        </w:rPr>
        <w:t xml:space="preserve"> smysl NATO a ochotu dostát závazkům USA, Harrisová nikoliv. </w:t>
      </w:r>
    </w:p>
    <w:p w14:paraId="4E2BD0D1" w14:textId="4E102909" w:rsid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008D657D">
        <w:rPr>
          <w:rFonts w:ascii="Verdana" w:hAnsi="Verdana"/>
          <w:sz w:val="20"/>
          <w:szCs w:val="16"/>
          <w:lang w:eastAsia="cs-CZ"/>
        </w:rPr>
        <w:t>Veřejně artikulované zpochybňování NATO</w:t>
      </w:r>
      <w:r w:rsidRPr="00FB571B">
        <w:rPr>
          <w:rFonts w:ascii="Verdana" w:hAnsi="Verdana"/>
          <w:sz w:val="20"/>
          <w:szCs w:val="16"/>
          <w:lang w:eastAsia="cs-CZ"/>
        </w:rPr>
        <w:t xml:space="preserve"> oslabuj</w:t>
      </w:r>
      <w:r w:rsidR="00166494">
        <w:rPr>
          <w:rFonts w:ascii="Verdana" w:hAnsi="Verdana"/>
          <w:sz w:val="20"/>
          <w:szCs w:val="16"/>
          <w:lang w:eastAsia="cs-CZ"/>
        </w:rPr>
        <w:t>e</w:t>
      </w:r>
      <w:r w:rsidRPr="00FB571B">
        <w:rPr>
          <w:rFonts w:ascii="Verdana" w:hAnsi="Verdana"/>
          <w:sz w:val="20"/>
          <w:szCs w:val="16"/>
          <w:lang w:eastAsia="cs-CZ"/>
        </w:rPr>
        <w:t xml:space="preserve"> </w:t>
      </w:r>
      <w:r w:rsidR="008D657D">
        <w:rPr>
          <w:rFonts w:ascii="Verdana" w:hAnsi="Verdana"/>
          <w:sz w:val="20"/>
          <w:szCs w:val="16"/>
          <w:lang w:eastAsia="cs-CZ"/>
        </w:rPr>
        <w:t xml:space="preserve">jeho </w:t>
      </w:r>
      <w:r w:rsidRPr="00FB571B">
        <w:rPr>
          <w:rFonts w:ascii="Verdana" w:hAnsi="Verdana"/>
          <w:sz w:val="20"/>
          <w:szCs w:val="16"/>
          <w:lang w:eastAsia="cs-CZ"/>
        </w:rPr>
        <w:t>odstrašující účinek, což musí být nákladně kompenzováno zbrojením, tedy neproduktivními investicemi.</w:t>
      </w:r>
    </w:p>
    <w:p w14:paraId="50B6C267"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01F6D3F9" w14:textId="77777777" w:rsidR="00FB571B" w:rsidRPr="00FB571B" w:rsidRDefault="00FB571B" w:rsidP="00FB571B">
      <w:pPr>
        <w:spacing w:line="240" w:lineRule="auto"/>
        <w:jc w:val="both"/>
        <w:rPr>
          <w:rFonts w:ascii="Verdana" w:hAnsi="Verdana"/>
          <w:sz w:val="20"/>
          <w:szCs w:val="16"/>
          <w:lang w:eastAsia="cs-CZ"/>
        </w:rPr>
      </w:pPr>
    </w:p>
    <w:p w14:paraId="752E961A" w14:textId="1507145B"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lastRenderedPageBreak/>
        <w:t>Válka na Ukrajině</w:t>
      </w:r>
      <w:r w:rsidRPr="00424B24">
        <w:rPr>
          <w:rFonts w:ascii="Verdana" w:hAnsi="Verdana"/>
          <w:sz w:val="20"/>
          <w:szCs w:val="16"/>
          <w:u w:val="single"/>
          <w:lang w:eastAsia="cs-CZ"/>
        </w:rPr>
        <w:t xml:space="preserve"> (10 %)</w:t>
      </w:r>
    </w:p>
    <w:p w14:paraId="17414874"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Válka na Ukrajině způsobuje zemím Evropské unie enormní náklady, ať už ve formě přímé pomoci napadené zemi či zpřetrhání obchodních vazeb s Ruskem.</w:t>
      </w:r>
    </w:p>
    <w:p w14:paraId="3E854F00" w14:textId="4981AFD3"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 prohlašuje, že by válku obratem ukončil, ovšem není jasné, jakým způsobem</w:t>
      </w:r>
      <w:r w:rsidR="008D657D">
        <w:rPr>
          <w:rFonts w:ascii="Verdana" w:hAnsi="Verdana"/>
          <w:sz w:val="20"/>
          <w:szCs w:val="16"/>
          <w:lang w:eastAsia="cs-CZ"/>
        </w:rPr>
        <w:t xml:space="preserve"> by toho docílil</w:t>
      </w:r>
      <w:r w:rsidRPr="00FB571B">
        <w:rPr>
          <w:rFonts w:ascii="Verdana" w:hAnsi="Verdana"/>
          <w:sz w:val="20"/>
          <w:szCs w:val="16"/>
          <w:lang w:eastAsia="cs-CZ"/>
        </w:rPr>
        <w:t>. Harrisová by zřejmě pokračovala v dosavadní politice podpory Ukrajiny.</w:t>
      </w:r>
    </w:p>
    <w:p w14:paraId="1B348A12" w14:textId="23F6EBE9" w:rsid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Skutečné ukončení války by bylo pro evropskou ekonomiku jednoznačně pozitivní, nicméně bez znalosti detailů Trumpova plánu s ním nelze počítat. Pro Evropu je tedy pravděpodobně výhodnější pokračování americké podpory Ukrajině.</w:t>
      </w:r>
    </w:p>
    <w:p w14:paraId="5C84E363" w14:textId="77777777"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49A18A90" w14:textId="77777777" w:rsidR="00FB571B" w:rsidRPr="00FB571B" w:rsidRDefault="00FB571B" w:rsidP="00FB571B">
      <w:pPr>
        <w:spacing w:line="240" w:lineRule="auto"/>
        <w:jc w:val="both"/>
        <w:rPr>
          <w:rFonts w:ascii="Verdana" w:hAnsi="Verdana"/>
          <w:sz w:val="20"/>
          <w:szCs w:val="16"/>
          <w:lang w:eastAsia="cs-CZ"/>
        </w:rPr>
      </w:pPr>
    </w:p>
    <w:p w14:paraId="554D8EBA" w14:textId="34DC2C56" w:rsidR="00FB571B" w:rsidRPr="00424B24" w:rsidRDefault="00FB571B" w:rsidP="00FB571B">
      <w:pPr>
        <w:spacing w:line="240" w:lineRule="auto"/>
        <w:jc w:val="both"/>
        <w:rPr>
          <w:rFonts w:ascii="Verdana" w:hAnsi="Verdana"/>
          <w:b/>
          <w:sz w:val="20"/>
          <w:szCs w:val="16"/>
          <w:u w:val="single"/>
          <w:lang w:eastAsia="cs-CZ"/>
        </w:rPr>
      </w:pPr>
      <w:r w:rsidRPr="00424B24">
        <w:rPr>
          <w:rFonts w:ascii="Verdana" w:hAnsi="Verdana"/>
          <w:b/>
          <w:sz w:val="20"/>
          <w:szCs w:val="16"/>
          <w:u w:val="single"/>
          <w:lang w:eastAsia="cs-CZ"/>
        </w:rPr>
        <w:t>Energetická politika (10 %)</w:t>
      </w:r>
    </w:p>
    <w:p w14:paraId="1B695C4D"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Přechod na klimaticky neutrální ekonomiku bude EU v příštích letech stát stovky miliard EUR.</w:t>
      </w:r>
    </w:p>
    <w:p w14:paraId="3406AA93"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 podporuje fosilní paliva a uvolnění environmentálních regulací. Harrisová podporuje zelenou energetiku a investice do obnovitelných zdrojů.</w:t>
      </w:r>
    </w:p>
    <w:p w14:paraId="7ECA9081" w14:textId="5734B0CA"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Trumpova pro-fosilní politika by mohla snížit cenu těchto zdrojů, ovšem pravděpodobně by vedla k dalšímu oslabení konkurenceschopnosti Evropy oproti USA.</w:t>
      </w:r>
    </w:p>
    <w:p w14:paraId="151BE4FD" w14:textId="77777777"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3C16B387" w14:textId="77777777" w:rsidR="00FB571B" w:rsidRPr="00FB571B" w:rsidRDefault="00FB571B" w:rsidP="00FB571B">
      <w:pPr>
        <w:spacing w:line="240" w:lineRule="auto"/>
        <w:jc w:val="both"/>
        <w:rPr>
          <w:rFonts w:ascii="Verdana" w:hAnsi="Verdana"/>
          <w:sz w:val="20"/>
          <w:szCs w:val="16"/>
          <w:lang w:eastAsia="cs-CZ"/>
        </w:rPr>
      </w:pPr>
    </w:p>
    <w:p w14:paraId="4DF215E3" w14:textId="0236971E"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Vztahy s Čínou</w:t>
      </w:r>
      <w:r w:rsidRPr="00424B24">
        <w:rPr>
          <w:rFonts w:ascii="Verdana" w:hAnsi="Verdana"/>
          <w:sz w:val="20"/>
          <w:szCs w:val="16"/>
          <w:u w:val="single"/>
          <w:lang w:eastAsia="cs-CZ"/>
        </w:rPr>
        <w:t xml:space="preserve"> (10 %)</w:t>
      </w:r>
    </w:p>
    <w:p w14:paraId="5B3E891E"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Čína představuje pro EU třetí nejdůležitější vývozní trh (roční objem zhruba 220 mld. EUR) a nejvýznamnějšího dovozního partnera (520 mld. EUR). Kromě spotřebního zboží jsou dodávky z Číny čím dál důležitější i v rámci dodavatelských řetězců.</w:t>
      </w:r>
    </w:p>
    <w:p w14:paraId="091F3412"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 vůči Číně dlouhodobě prosazuje konfrontační přístup, Harrisová se profiluje jako více konsenzuální.</w:t>
      </w:r>
    </w:p>
    <w:p w14:paraId="0D1D46CC" w14:textId="2F4D7060"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Eskalace globálních obchodních sporů by v Česku mohla způsobit vyšší spotřebitelskou inflaci a výpadky dodávek průmyslových vstupů.</w:t>
      </w:r>
    </w:p>
    <w:p w14:paraId="2FDB2160" w14:textId="77777777"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3731B2B0" w14:textId="77777777" w:rsidR="00FB571B" w:rsidRPr="00FB571B" w:rsidRDefault="00FB571B" w:rsidP="00FB571B">
      <w:pPr>
        <w:spacing w:line="240" w:lineRule="auto"/>
        <w:jc w:val="both"/>
        <w:rPr>
          <w:rFonts w:ascii="Verdana" w:hAnsi="Verdana"/>
          <w:sz w:val="20"/>
          <w:szCs w:val="16"/>
          <w:lang w:eastAsia="cs-CZ"/>
        </w:rPr>
      </w:pPr>
    </w:p>
    <w:p w14:paraId="08A0D4B8" w14:textId="40C7AE09"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Imigrace a pracovní trh</w:t>
      </w:r>
      <w:r w:rsidRPr="00424B24">
        <w:rPr>
          <w:rFonts w:ascii="Verdana" w:hAnsi="Verdana"/>
          <w:sz w:val="20"/>
          <w:szCs w:val="16"/>
          <w:u w:val="single"/>
          <w:lang w:eastAsia="cs-CZ"/>
        </w:rPr>
        <w:t xml:space="preserve"> (5 %)</w:t>
      </w:r>
    </w:p>
    <w:p w14:paraId="1D0D54F6"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Spojené státy dlouhodobě přitahují pracovní sílu z ostatních zemí, včetně té vysoce kvalifikované.</w:t>
      </w:r>
    </w:p>
    <w:p w14:paraId="23812B19"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 by podle dostupných informací pravděpodobně vydávání pracovních víz omezil, Harrisová nikoliv.</w:t>
      </w:r>
    </w:p>
    <w:p w14:paraId="2D5F2DBB" w14:textId="0419E7E5"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Omezení přístupu kvalifikovaných pracovníků z Evropy do USA by mírně zlepšilo jejich dostupnost v EU.</w:t>
      </w:r>
    </w:p>
    <w:p w14:paraId="3118A948" w14:textId="0205C9EA"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xml:space="preserve">: </w:t>
      </w:r>
      <w:r w:rsidR="00B0141D">
        <w:rPr>
          <w:rFonts w:ascii="Verdana" w:hAnsi="Verdana"/>
          <w:sz w:val="20"/>
          <w:szCs w:val="16"/>
          <w:lang w:eastAsia="cs-CZ"/>
        </w:rPr>
        <w:t>Trump</w:t>
      </w:r>
    </w:p>
    <w:p w14:paraId="376A3BFF" w14:textId="77777777" w:rsidR="00FB571B" w:rsidRPr="00FB571B" w:rsidRDefault="00FB571B" w:rsidP="00FB571B">
      <w:pPr>
        <w:spacing w:line="240" w:lineRule="auto"/>
        <w:jc w:val="both"/>
        <w:rPr>
          <w:rFonts w:ascii="Verdana" w:hAnsi="Verdana"/>
          <w:sz w:val="20"/>
          <w:szCs w:val="16"/>
          <w:lang w:eastAsia="cs-CZ"/>
        </w:rPr>
      </w:pPr>
    </w:p>
    <w:p w14:paraId="018C700B" w14:textId="7F324F84"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Daňová politika</w:t>
      </w:r>
      <w:r w:rsidRPr="00424B24">
        <w:rPr>
          <w:rFonts w:ascii="Verdana" w:hAnsi="Verdana"/>
          <w:sz w:val="20"/>
          <w:szCs w:val="16"/>
          <w:u w:val="single"/>
          <w:lang w:eastAsia="cs-CZ"/>
        </w:rPr>
        <w:t xml:space="preserve"> (10 %)</w:t>
      </w:r>
    </w:p>
    <w:p w14:paraId="03B317A3"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V globalizovaném světě lze pomocí nižšího zdanění lákat firmy k přesunům do výhodnějších destinací, nižší inkaso ovšem může vést k nárůstu státního dluhu.</w:t>
      </w:r>
    </w:p>
    <w:p w14:paraId="089E8031"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lastRenderedPageBreak/>
        <w:t>Trump je silným zastáncem daňových škrtů pro velké korporace, zatímco Harrisová by korporátní daně pravděpodobně udržovala výše.</w:t>
      </w:r>
    </w:p>
    <w:p w14:paraId="43A88AB6" w14:textId="693AEED7"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Evropa ani Česko si nemohou dovolit závody o nejnižší zdanění korporací a jeho snížení v USA by tak patrně vedlo k odlivu firem z EU.</w:t>
      </w:r>
    </w:p>
    <w:p w14:paraId="2B988E5D" w14:textId="77777777"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33DE3773" w14:textId="77777777" w:rsidR="00FB571B" w:rsidRPr="00FB571B" w:rsidRDefault="00FB571B" w:rsidP="00FB571B">
      <w:pPr>
        <w:spacing w:line="240" w:lineRule="auto"/>
        <w:jc w:val="both"/>
        <w:rPr>
          <w:rFonts w:ascii="Verdana" w:hAnsi="Verdana"/>
          <w:sz w:val="20"/>
          <w:szCs w:val="16"/>
          <w:lang w:eastAsia="cs-CZ"/>
        </w:rPr>
      </w:pPr>
    </w:p>
    <w:p w14:paraId="6F01FFD4" w14:textId="4B160D45"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Regulace</w:t>
      </w:r>
      <w:r w:rsidRPr="00424B24">
        <w:rPr>
          <w:rFonts w:ascii="Verdana" w:hAnsi="Verdana"/>
          <w:sz w:val="20"/>
          <w:szCs w:val="16"/>
          <w:u w:val="single"/>
          <w:lang w:eastAsia="cs-CZ"/>
        </w:rPr>
        <w:t xml:space="preserve"> (10 %)</w:t>
      </w:r>
    </w:p>
    <w:p w14:paraId="3AC06C0A"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Regulatorní prostředí v Evropské unii patří k těm nejpřísnějším, ať již v oblasti monopolů, ochrany soukromí či trhu práce.</w:t>
      </w:r>
    </w:p>
    <w:p w14:paraId="02FD9793"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Trumpův přístup k regulacím je spíše liberální, zatímco Harrisová tíhne k evropštějšímu postoji.</w:t>
      </w:r>
    </w:p>
    <w:p w14:paraId="55AC9102" w14:textId="08F3DF64"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Sblížení regulatorního prostředí mezi USA a EU by snížilo konkurenční nevýhodu Evropy a přineslo jí i úspory z rozsahu.</w:t>
      </w:r>
    </w:p>
    <w:p w14:paraId="530CE178" w14:textId="77777777"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5843D2D1" w14:textId="77777777" w:rsidR="00FB571B" w:rsidRPr="00FB571B" w:rsidRDefault="00FB571B" w:rsidP="00FB571B">
      <w:pPr>
        <w:spacing w:line="240" w:lineRule="auto"/>
        <w:jc w:val="both"/>
        <w:rPr>
          <w:rFonts w:ascii="Verdana" w:hAnsi="Verdana"/>
          <w:sz w:val="20"/>
          <w:szCs w:val="16"/>
          <w:lang w:eastAsia="cs-CZ"/>
        </w:rPr>
      </w:pPr>
    </w:p>
    <w:p w14:paraId="3CFB8BA5" w14:textId="2AAEE2D5"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Výnosy dluhopisů</w:t>
      </w:r>
      <w:r w:rsidRPr="00424B24">
        <w:rPr>
          <w:rFonts w:ascii="Verdana" w:hAnsi="Verdana"/>
          <w:sz w:val="20"/>
          <w:szCs w:val="16"/>
          <w:u w:val="single"/>
          <w:lang w:eastAsia="cs-CZ"/>
        </w:rPr>
        <w:t xml:space="preserve"> (5 %)</w:t>
      </w:r>
    </w:p>
    <w:p w14:paraId="19290C1D" w14:textId="7AEF4DC4"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Americké dluhopisy stále slouží jako benchmark pro všechny ostatní a pohyb jejich výnos</w:t>
      </w:r>
      <w:r w:rsidR="00006EDB">
        <w:rPr>
          <w:rFonts w:ascii="Verdana" w:hAnsi="Verdana"/>
          <w:sz w:val="20"/>
          <w:szCs w:val="16"/>
          <w:lang w:eastAsia="cs-CZ"/>
        </w:rPr>
        <w:t>ů</w:t>
      </w:r>
      <w:r w:rsidRPr="00FB571B">
        <w:rPr>
          <w:rFonts w:ascii="Verdana" w:hAnsi="Verdana"/>
          <w:sz w:val="20"/>
          <w:szCs w:val="16"/>
          <w:lang w:eastAsia="cs-CZ"/>
        </w:rPr>
        <w:t xml:space="preserve"> tak mají tendenci kopírovat i ty evropské</w:t>
      </w:r>
      <w:r w:rsidR="007A3190">
        <w:rPr>
          <w:rFonts w:ascii="Verdana" w:hAnsi="Verdana"/>
          <w:sz w:val="20"/>
          <w:szCs w:val="16"/>
          <w:lang w:eastAsia="cs-CZ"/>
        </w:rPr>
        <w:t xml:space="preserve">. </w:t>
      </w:r>
    </w:p>
    <w:p w14:paraId="56C27FD6" w14:textId="577553BF" w:rsidR="00FB571B" w:rsidRPr="00FB571B" w:rsidRDefault="00006EDB" w:rsidP="00FB571B">
      <w:pPr>
        <w:spacing w:line="240" w:lineRule="auto"/>
        <w:jc w:val="both"/>
        <w:rPr>
          <w:rFonts w:ascii="Verdana" w:hAnsi="Verdana"/>
          <w:sz w:val="20"/>
          <w:szCs w:val="16"/>
          <w:lang w:eastAsia="cs-CZ"/>
        </w:rPr>
      </w:pPr>
      <w:r>
        <w:rPr>
          <w:rFonts w:ascii="Verdana" w:hAnsi="Verdana"/>
          <w:sz w:val="20"/>
          <w:szCs w:val="16"/>
          <w:lang w:eastAsia="cs-CZ"/>
        </w:rPr>
        <w:t>Trump</w:t>
      </w:r>
      <w:r w:rsidR="00FB571B" w:rsidRPr="00FB571B">
        <w:rPr>
          <w:rFonts w:ascii="Verdana" w:hAnsi="Verdana"/>
          <w:sz w:val="20"/>
          <w:szCs w:val="16"/>
          <w:lang w:eastAsia="cs-CZ"/>
        </w:rPr>
        <w:t xml:space="preserve"> klade ve fiskální oblasti důraz hlavně na nižší zdanění, což pro americký rozpočet představuje zátěž, nicméně program Harrisové je přece jen nákladnější kvůli zvýšeným výdajům v sociální a environmentální oblasti.</w:t>
      </w:r>
    </w:p>
    <w:p w14:paraId="7EAF23A2" w14:textId="49874C6B" w:rsidR="00FB571B" w:rsidRPr="00FB571B"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Vyšší tempo zadlužování USA</w:t>
      </w:r>
      <w:r w:rsidR="00006EDB">
        <w:rPr>
          <w:rFonts w:ascii="Verdana" w:hAnsi="Verdana"/>
          <w:sz w:val="20"/>
          <w:szCs w:val="16"/>
          <w:lang w:eastAsia="cs-CZ"/>
        </w:rPr>
        <w:t>, které by se pojilo s vítězstvím Harrisové,</w:t>
      </w:r>
      <w:r w:rsidRPr="00FB571B">
        <w:rPr>
          <w:rFonts w:ascii="Verdana" w:hAnsi="Verdana"/>
          <w:sz w:val="20"/>
          <w:szCs w:val="16"/>
          <w:lang w:eastAsia="cs-CZ"/>
        </w:rPr>
        <w:t xml:space="preserve"> pravděpodobně způsobí i růst výnosů evropských vládních dluhopisů</w:t>
      </w:r>
      <w:r w:rsidR="007A3190">
        <w:rPr>
          <w:rFonts w:ascii="Verdana" w:hAnsi="Verdana"/>
          <w:sz w:val="20"/>
          <w:szCs w:val="16"/>
          <w:lang w:eastAsia="cs-CZ"/>
        </w:rPr>
        <w:t>,</w:t>
      </w:r>
      <w:r w:rsidRPr="00FB571B">
        <w:rPr>
          <w:rFonts w:ascii="Verdana" w:hAnsi="Verdana"/>
          <w:sz w:val="20"/>
          <w:szCs w:val="16"/>
          <w:lang w:eastAsia="cs-CZ"/>
        </w:rPr>
        <w:t xml:space="preserve"> a tedy dražší dluhovou službu.</w:t>
      </w:r>
    </w:p>
    <w:p w14:paraId="6A8A9098" w14:textId="0DB0CBEF" w:rsidR="00424B24" w:rsidRPr="00FB571B"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xml:space="preserve">: </w:t>
      </w:r>
      <w:r w:rsidR="00B0141D">
        <w:rPr>
          <w:rFonts w:ascii="Verdana" w:hAnsi="Verdana"/>
          <w:sz w:val="20"/>
          <w:szCs w:val="16"/>
          <w:lang w:eastAsia="cs-CZ"/>
        </w:rPr>
        <w:t>Trump</w:t>
      </w:r>
    </w:p>
    <w:p w14:paraId="1FF6F776" w14:textId="77777777" w:rsidR="00FB571B" w:rsidRPr="00FB571B" w:rsidRDefault="00FB571B" w:rsidP="00FB571B">
      <w:pPr>
        <w:spacing w:line="240" w:lineRule="auto"/>
        <w:jc w:val="both"/>
        <w:rPr>
          <w:rFonts w:ascii="Verdana" w:hAnsi="Verdana"/>
          <w:sz w:val="20"/>
          <w:szCs w:val="16"/>
          <w:lang w:eastAsia="cs-CZ"/>
        </w:rPr>
      </w:pPr>
    </w:p>
    <w:p w14:paraId="60803C36" w14:textId="6AFAD604" w:rsidR="00FB571B" w:rsidRPr="00424B24" w:rsidRDefault="00FB571B" w:rsidP="00FB571B">
      <w:pPr>
        <w:spacing w:line="240" w:lineRule="auto"/>
        <w:jc w:val="both"/>
        <w:rPr>
          <w:rFonts w:ascii="Verdana" w:hAnsi="Verdana"/>
          <w:sz w:val="20"/>
          <w:szCs w:val="16"/>
          <w:u w:val="single"/>
          <w:lang w:eastAsia="cs-CZ"/>
        </w:rPr>
      </w:pPr>
      <w:r w:rsidRPr="00424B24">
        <w:rPr>
          <w:rFonts w:ascii="Verdana" w:hAnsi="Verdana"/>
          <w:b/>
          <w:sz w:val="20"/>
          <w:szCs w:val="16"/>
          <w:u w:val="single"/>
          <w:lang w:eastAsia="cs-CZ"/>
        </w:rPr>
        <w:t>Vztahy s Ruskem</w:t>
      </w:r>
      <w:r w:rsidRPr="00424B24">
        <w:rPr>
          <w:rFonts w:ascii="Verdana" w:hAnsi="Verdana"/>
          <w:sz w:val="20"/>
          <w:szCs w:val="16"/>
          <w:u w:val="single"/>
          <w:lang w:eastAsia="cs-CZ"/>
        </w:rPr>
        <w:t xml:space="preserve"> (5 %)</w:t>
      </w:r>
    </w:p>
    <w:p w14:paraId="3292D55C" w14:textId="77777777"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Ruská anexe ukrajinského Krymu i pozdější plnohodnotná ruská invaze spustily reakci západních zemí ve formě ekonomických sankcí. Ty pochopitelně představují náklady pro obě strany, tedy jak samotné Rusko, tak i státy, které k nim přistoupily.</w:t>
      </w:r>
    </w:p>
    <w:p w14:paraId="460FF9EC" w14:textId="0C385328" w:rsidR="00FB571B" w:rsidRPr="00FB571B" w:rsidRDefault="00FB571B" w:rsidP="00FB571B">
      <w:pPr>
        <w:spacing w:line="240" w:lineRule="auto"/>
        <w:jc w:val="both"/>
        <w:rPr>
          <w:rFonts w:ascii="Verdana" w:hAnsi="Verdana"/>
          <w:sz w:val="20"/>
          <w:szCs w:val="16"/>
          <w:lang w:eastAsia="cs-CZ"/>
        </w:rPr>
      </w:pPr>
      <w:r w:rsidRPr="00FB571B">
        <w:rPr>
          <w:rFonts w:ascii="Verdana" w:hAnsi="Verdana"/>
          <w:sz w:val="20"/>
          <w:szCs w:val="16"/>
          <w:lang w:eastAsia="cs-CZ"/>
        </w:rPr>
        <w:t>Trumpův postoj k Rusku byl historicky spíše shovívavý a pravděpodobně by byl více nakloněn případnému uvolnění sankčníh</w:t>
      </w:r>
      <w:r w:rsidR="00166494">
        <w:rPr>
          <w:rFonts w:ascii="Verdana" w:hAnsi="Verdana"/>
          <w:sz w:val="20"/>
          <w:szCs w:val="16"/>
          <w:lang w:eastAsia="cs-CZ"/>
        </w:rPr>
        <w:t>o režimu. Naproti tomu Harrisová</w:t>
      </w:r>
      <w:r w:rsidRPr="00FB571B">
        <w:rPr>
          <w:rFonts w:ascii="Verdana" w:hAnsi="Verdana"/>
          <w:sz w:val="20"/>
          <w:szCs w:val="16"/>
          <w:lang w:eastAsia="cs-CZ"/>
        </w:rPr>
        <w:t xml:space="preserve"> by zřejmě udržovala tvrdší přístup.</w:t>
      </w:r>
    </w:p>
    <w:p w14:paraId="3E2CDA8B" w14:textId="3651C105" w:rsidR="002F759E" w:rsidRDefault="00FB571B" w:rsidP="00FB571B">
      <w:pPr>
        <w:spacing w:line="240" w:lineRule="auto"/>
        <w:jc w:val="both"/>
        <w:rPr>
          <w:rFonts w:ascii="Verdana" w:hAnsi="Verdana"/>
          <w:sz w:val="20"/>
          <w:szCs w:val="16"/>
          <w:lang w:eastAsia="cs-CZ"/>
        </w:rPr>
      </w:pPr>
      <w:r w:rsidRPr="00FB571B">
        <w:rPr>
          <w:rFonts w:ascii="Verdana" w:hAnsi="Verdana"/>
          <w:b/>
          <w:sz w:val="20"/>
          <w:szCs w:val="16"/>
          <w:lang w:eastAsia="cs-CZ"/>
        </w:rPr>
        <w:t>Verdikt</w:t>
      </w:r>
      <w:r>
        <w:rPr>
          <w:rFonts w:ascii="Verdana" w:hAnsi="Verdana"/>
          <w:sz w:val="20"/>
          <w:szCs w:val="16"/>
          <w:lang w:eastAsia="cs-CZ"/>
        </w:rPr>
        <w:t xml:space="preserve">: </w:t>
      </w:r>
      <w:r w:rsidRPr="00FB571B">
        <w:rPr>
          <w:rFonts w:ascii="Verdana" w:hAnsi="Verdana"/>
          <w:sz w:val="20"/>
          <w:szCs w:val="16"/>
          <w:lang w:eastAsia="cs-CZ"/>
        </w:rPr>
        <w:t>Liknavější přístup USA k protiruským sankcím by pravděpodobně oslabil jejich účinnost a vedl by k jejich obcházení prostřednictvím třetích zemí.</w:t>
      </w:r>
    </w:p>
    <w:p w14:paraId="04958611" w14:textId="6F03B68A" w:rsidR="00424B24" w:rsidRDefault="00424B24" w:rsidP="00424B24">
      <w:pPr>
        <w:spacing w:line="240" w:lineRule="auto"/>
        <w:jc w:val="both"/>
        <w:rPr>
          <w:rFonts w:ascii="Verdana" w:hAnsi="Verdana"/>
          <w:sz w:val="20"/>
          <w:szCs w:val="16"/>
          <w:lang w:eastAsia="cs-CZ"/>
        </w:rPr>
      </w:pPr>
      <w:r w:rsidRPr="00FB571B">
        <w:rPr>
          <w:rFonts w:ascii="Verdana" w:hAnsi="Verdana"/>
          <w:b/>
          <w:sz w:val="20"/>
          <w:szCs w:val="16"/>
          <w:lang w:eastAsia="cs-CZ"/>
        </w:rPr>
        <w:t>Vítěz</w:t>
      </w:r>
      <w:r>
        <w:rPr>
          <w:rFonts w:ascii="Verdana" w:hAnsi="Verdana"/>
          <w:sz w:val="20"/>
          <w:szCs w:val="16"/>
          <w:lang w:eastAsia="cs-CZ"/>
        </w:rPr>
        <w:t>: Harrisová</w:t>
      </w:r>
    </w:p>
    <w:p w14:paraId="7C7EB900" w14:textId="05C20F69" w:rsidR="00006EDB" w:rsidRDefault="00006EDB" w:rsidP="00424B24">
      <w:pPr>
        <w:spacing w:line="240" w:lineRule="auto"/>
        <w:jc w:val="both"/>
        <w:rPr>
          <w:rFonts w:ascii="Verdana" w:hAnsi="Verdana"/>
          <w:sz w:val="20"/>
          <w:szCs w:val="16"/>
          <w:lang w:eastAsia="cs-CZ"/>
        </w:rPr>
      </w:pPr>
    </w:p>
    <w:p w14:paraId="00D5E6D2" w14:textId="3BB2152C" w:rsidR="00006EDB" w:rsidRPr="00FB571B" w:rsidRDefault="00006EDB" w:rsidP="00424B24">
      <w:pPr>
        <w:spacing w:line="240" w:lineRule="auto"/>
        <w:jc w:val="both"/>
        <w:rPr>
          <w:rFonts w:ascii="Verdana" w:hAnsi="Verdana"/>
          <w:sz w:val="20"/>
          <w:szCs w:val="16"/>
          <w:lang w:eastAsia="cs-CZ"/>
        </w:rPr>
      </w:pPr>
      <w:r>
        <w:rPr>
          <w:rFonts w:ascii="Verdana" w:hAnsi="Verdana"/>
          <w:sz w:val="20"/>
          <w:szCs w:val="16"/>
          <w:lang w:eastAsia="cs-CZ"/>
        </w:rPr>
        <w:t>V převážné většině témat (90 %) s makroekonomickým přesahem je z evropského i českého pohledu podle nás výhodnější vítězství Harrisové.</w:t>
      </w:r>
    </w:p>
    <w:p w14:paraId="7966ABF1" w14:textId="47DA8CED" w:rsidR="009856FF" w:rsidRDefault="009856FF">
      <w:pPr>
        <w:rPr>
          <w:rFonts w:ascii="Verdana" w:hAnsi="Verdana"/>
          <w:sz w:val="20"/>
          <w:szCs w:val="16"/>
          <w:lang w:eastAsia="cs-CZ"/>
        </w:rPr>
      </w:pPr>
      <w:r>
        <w:rPr>
          <w:rFonts w:ascii="Verdana" w:hAnsi="Verdana"/>
          <w:sz w:val="20"/>
          <w:szCs w:val="16"/>
          <w:lang w:eastAsia="cs-CZ"/>
        </w:rPr>
        <w:br w:type="page"/>
      </w:r>
    </w:p>
    <w:p w14:paraId="265D4747" w14:textId="77777777" w:rsidR="00424B24" w:rsidRPr="00FB571B" w:rsidRDefault="00424B24" w:rsidP="00FB571B">
      <w:pPr>
        <w:spacing w:line="240" w:lineRule="auto"/>
        <w:jc w:val="both"/>
        <w:rPr>
          <w:rFonts w:ascii="Verdana" w:hAnsi="Verdana"/>
          <w:sz w:val="20"/>
          <w:szCs w:val="16"/>
          <w:lang w:eastAsia="cs-CZ"/>
        </w:rPr>
      </w:pPr>
    </w:p>
    <w:p w14:paraId="6C57AE7C" w14:textId="77777777" w:rsidR="009856FF" w:rsidRPr="009856FF" w:rsidRDefault="009856FF" w:rsidP="009856FF">
      <w:pPr>
        <w:spacing w:line="360" w:lineRule="auto"/>
        <w:jc w:val="both"/>
        <w:rPr>
          <w:rFonts w:ascii="Verdana" w:hAnsi="Verdana"/>
          <w:b/>
          <w:sz w:val="22"/>
          <w:szCs w:val="16"/>
          <w:lang w:eastAsia="cs-CZ"/>
        </w:rPr>
      </w:pPr>
      <w:r w:rsidRPr="009856FF">
        <w:rPr>
          <w:rFonts w:ascii="Verdana" w:hAnsi="Verdana"/>
          <w:b/>
          <w:sz w:val="22"/>
          <w:szCs w:val="16"/>
          <w:lang w:eastAsia="cs-CZ"/>
        </w:rPr>
        <w:t>Držitelé amerických akcií vydělají na výhře Donalda Trumpa</w:t>
      </w:r>
    </w:p>
    <w:p w14:paraId="7ACDC195" w14:textId="77777777" w:rsidR="009856FF" w:rsidRPr="009856FF" w:rsidRDefault="009856FF" w:rsidP="009856FF">
      <w:pPr>
        <w:spacing w:line="360" w:lineRule="auto"/>
        <w:jc w:val="both"/>
        <w:rPr>
          <w:rFonts w:ascii="Verdana" w:hAnsi="Verdana"/>
          <w:b/>
          <w:sz w:val="20"/>
          <w:szCs w:val="16"/>
          <w:lang w:eastAsia="cs-CZ"/>
        </w:rPr>
      </w:pPr>
      <w:r w:rsidRPr="009856FF">
        <w:rPr>
          <w:rFonts w:ascii="Verdana" w:hAnsi="Verdana"/>
          <w:b/>
          <w:sz w:val="20"/>
          <w:szCs w:val="16"/>
          <w:lang w:eastAsia="cs-CZ"/>
        </w:rPr>
        <w:t>Největší hrozbou pro burzy je nejasný volební výsledek</w:t>
      </w:r>
    </w:p>
    <w:p w14:paraId="428858C1" w14:textId="77777777"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 xml:space="preserve">Doprovodným jevem předchozích dvou volebních utkání byla zvýšená volatilita v několika měsících před volbami a mírný pokles, respektive stagnace indexu S&amp;P 500 následovaná jeho posílením po volbách. </w:t>
      </w:r>
      <w:r w:rsidRPr="009856FF">
        <w:rPr>
          <w:rFonts w:ascii="Verdana" w:hAnsi="Verdana"/>
          <w:b/>
          <w:sz w:val="20"/>
          <w:szCs w:val="16"/>
          <w:lang w:eastAsia="cs-CZ"/>
        </w:rPr>
        <w:t>Zjednodušeně řečeno si trhy oddechly, jakmile byl znám výsledek, a to bez ohledu na jméno vítěze</w:t>
      </w:r>
      <w:r w:rsidRPr="009856FF">
        <w:rPr>
          <w:rFonts w:ascii="Verdana" w:hAnsi="Verdana"/>
          <w:sz w:val="20"/>
          <w:szCs w:val="16"/>
          <w:lang w:eastAsia="cs-CZ"/>
        </w:rPr>
        <w:t>. Důvodem je skutečnost, že vítězní kandidáti obvykle opustili své nejvíce extravagantní sliby a sledovali veskrze smysluplnou ekonomickou politiku.</w:t>
      </w:r>
    </w:p>
    <w:p w14:paraId="03C1C60C" w14:textId="77777777"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 xml:space="preserve">Aktuálně se index VIX nachází na úrovních kolem 20 (roční průměr 15), což indikuje určitou nervozitu, která může v následujících týdnech ještě kulminovat. Předešlá dvě volební utkání nás naučila, že burzovní ztráty vyvolané čistě vlivem politiky neměly dlouhého trvání. Hororovým scénářem pro trhy by ovšem byla situace, pokud by Kamala Harrisová zvítězila těsně a Donald Trump vítězství neuznal. To by </w:t>
      </w:r>
      <w:r w:rsidRPr="009856FF">
        <w:rPr>
          <w:rFonts w:ascii="Verdana" w:hAnsi="Verdana"/>
          <w:b/>
          <w:sz w:val="20"/>
          <w:szCs w:val="16"/>
          <w:lang w:eastAsia="cs-CZ"/>
        </w:rPr>
        <w:t>znamenalo přetrvávající nestabilitu a pravděpodobné otřesy na burzách</w:t>
      </w:r>
      <w:r w:rsidRPr="009856FF">
        <w:rPr>
          <w:rFonts w:ascii="Verdana" w:hAnsi="Verdana"/>
          <w:sz w:val="20"/>
          <w:szCs w:val="16"/>
          <w:lang w:eastAsia="cs-CZ"/>
        </w:rPr>
        <w:t>.</w:t>
      </w:r>
    </w:p>
    <w:p w14:paraId="3BD77D59" w14:textId="77777777" w:rsidR="009856FF" w:rsidRPr="009856FF" w:rsidRDefault="009856FF" w:rsidP="009856FF">
      <w:pPr>
        <w:spacing w:line="360" w:lineRule="auto"/>
        <w:jc w:val="both"/>
        <w:rPr>
          <w:rFonts w:ascii="Verdana" w:hAnsi="Verdana"/>
          <w:sz w:val="20"/>
          <w:szCs w:val="16"/>
          <w:lang w:eastAsia="cs-CZ"/>
        </w:rPr>
      </w:pPr>
    </w:p>
    <w:p w14:paraId="54F081A5" w14:textId="77777777" w:rsidR="009856FF" w:rsidRPr="009856FF" w:rsidRDefault="009856FF" w:rsidP="009856FF">
      <w:pPr>
        <w:spacing w:line="360" w:lineRule="auto"/>
        <w:jc w:val="both"/>
        <w:rPr>
          <w:rFonts w:ascii="Verdana" w:hAnsi="Verdana"/>
          <w:b/>
          <w:sz w:val="20"/>
          <w:szCs w:val="16"/>
          <w:lang w:eastAsia="cs-CZ"/>
        </w:rPr>
      </w:pPr>
      <w:r w:rsidRPr="009856FF">
        <w:rPr>
          <w:rFonts w:ascii="Verdana" w:hAnsi="Verdana"/>
          <w:b/>
          <w:sz w:val="20"/>
          <w:szCs w:val="16"/>
          <w:lang w:eastAsia="cs-CZ"/>
        </w:rPr>
        <w:t>Klíčovou ekonomickou agendou je úprava daní a v nich je pro burzy přijatelnější Trump</w:t>
      </w:r>
    </w:p>
    <w:p w14:paraId="29AA6744" w14:textId="371B1535" w:rsidR="009856FF" w:rsidRPr="009856FF" w:rsidRDefault="009856FF" w:rsidP="009856FF">
      <w:pPr>
        <w:spacing w:line="360" w:lineRule="auto"/>
        <w:jc w:val="both"/>
        <w:rPr>
          <w:rFonts w:ascii="Verdana" w:hAnsi="Verdana"/>
          <w:sz w:val="20"/>
          <w:szCs w:val="16"/>
          <w:lang w:eastAsia="cs-CZ"/>
        </w:rPr>
      </w:pPr>
      <w:r w:rsidRPr="009856FF">
        <w:rPr>
          <w:rFonts w:ascii="Verdana" w:hAnsi="Verdana"/>
          <w:b/>
          <w:sz w:val="20"/>
          <w:szCs w:val="16"/>
          <w:lang w:eastAsia="cs-CZ"/>
        </w:rPr>
        <w:t>Přestože výhra jednotlivých kandidátů má specifický dopad na konkrétní odvětví, lze konstatovat, že příznivějším kandidátem pro americké akcie je Donald Trump</w:t>
      </w:r>
      <w:r w:rsidRPr="009856FF">
        <w:rPr>
          <w:rFonts w:ascii="Verdana" w:hAnsi="Verdana"/>
          <w:sz w:val="20"/>
          <w:szCs w:val="16"/>
          <w:lang w:eastAsia="cs-CZ"/>
        </w:rPr>
        <w:t xml:space="preserve">. Ten se již během svého prvního mandátu v roce </w:t>
      </w:r>
      <w:r w:rsidR="00B5330E" w:rsidRPr="009856FF">
        <w:rPr>
          <w:rFonts w:ascii="Verdana" w:hAnsi="Verdana"/>
          <w:sz w:val="20"/>
          <w:szCs w:val="16"/>
          <w:lang w:eastAsia="cs-CZ"/>
        </w:rPr>
        <w:t>2016–2020</w:t>
      </w:r>
      <w:r w:rsidRPr="009856FF">
        <w:rPr>
          <w:rFonts w:ascii="Verdana" w:hAnsi="Verdana"/>
          <w:sz w:val="20"/>
          <w:szCs w:val="16"/>
          <w:lang w:eastAsia="cs-CZ"/>
        </w:rPr>
        <w:t xml:space="preserve"> projevil jako zastánce nízkých daní a deregulace, což jsou faktory, které obecně akciím vyhovují. </w:t>
      </w:r>
      <w:r w:rsidRPr="009856FF">
        <w:rPr>
          <w:rFonts w:ascii="Verdana" w:hAnsi="Verdana"/>
          <w:b/>
          <w:sz w:val="20"/>
          <w:szCs w:val="16"/>
          <w:lang w:eastAsia="cs-CZ"/>
        </w:rPr>
        <w:t>Jedním ze stěžejních bodů Trumpova prezidentství byla reforma daní</w:t>
      </w:r>
      <w:r w:rsidRPr="009856FF">
        <w:rPr>
          <w:rFonts w:ascii="Verdana" w:hAnsi="Verdana"/>
          <w:sz w:val="20"/>
          <w:szCs w:val="16"/>
          <w:lang w:eastAsia="cs-CZ"/>
        </w:rPr>
        <w:t xml:space="preserve">. Donald Trump prosadil snížení daně z korporátních zisků z 35 % na 21 % nebo změny individuálních daní, které jsou platné do roku 2025. </w:t>
      </w:r>
      <w:r w:rsidRPr="009856FF">
        <w:rPr>
          <w:rFonts w:ascii="Verdana" w:hAnsi="Verdana"/>
          <w:b/>
          <w:sz w:val="20"/>
          <w:szCs w:val="16"/>
          <w:lang w:eastAsia="cs-CZ"/>
        </w:rPr>
        <w:t>Jedním z hlavních ekonomických pilířů současné kampaně Donalda Trumpa je právě prodloužení daňových škrtů</w:t>
      </w:r>
      <w:r w:rsidRPr="009856FF">
        <w:rPr>
          <w:rFonts w:ascii="Verdana" w:hAnsi="Verdana"/>
          <w:sz w:val="20"/>
          <w:szCs w:val="16"/>
          <w:lang w:eastAsia="cs-CZ"/>
        </w:rPr>
        <w:t xml:space="preserve">. Různé analýzy vyčíslují, že pokračování benevolentní daňové politiky vyjde americký rozpočet až na 4 biliony dolarů. </w:t>
      </w:r>
    </w:p>
    <w:p w14:paraId="09486AC2" w14:textId="77777777"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 xml:space="preserve">Naproti tomu Kamala Harrisová plánuje korporátní daň navýšit z 21 % na 28 %. Kandidátka Demokratické strany rovněž zamýšlí zvýšit individuální daňové sazby pro vysokopříjmové skupiny. Nicméně Kamala Harrisová proklamovala svou ambici zavést různá daňová zvýhodnění pro rodiny a nízkopříjmové skupiny. </w:t>
      </w:r>
      <w:r w:rsidRPr="009856FF">
        <w:rPr>
          <w:rFonts w:ascii="Verdana" w:hAnsi="Verdana"/>
          <w:b/>
          <w:sz w:val="20"/>
          <w:szCs w:val="16"/>
          <w:lang w:eastAsia="cs-CZ"/>
        </w:rPr>
        <w:t>Některé analýzy tak naznačují, že daňové kroky Harrisové budou nákladnější než ty Trumpovy a měly by tak v následující dekádě pro rozpočet představovat náklad až 5 bilionů USD</w:t>
      </w:r>
      <w:r w:rsidRPr="009856FF">
        <w:rPr>
          <w:rFonts w:ascii="Verdana" w:hAnsi="Verdana"/>
          <w:sz w:val="20"/>
          <w:szCs w:val="16"/>
          <w:lang w:eastAsia="cs-CZ"/>
        </w:rPr>
        <w:t>.</w:t>
      </w:r>
    </w:p>
    <w:p w14:paraId="3A3439CB" w14:textId="77777777"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 xml:space="preserve">Jedním z důvodů, proč je Harrisová pro akciové trhy spíše negativním kandidátem je i skutečnost, že </w:t>
      </w:r>
      <w:r w:rsidRPr="009856FF">
        <w:rPr>
          <w:rFonts w:ascii="Verdana" w:hAnsi="Verdana"/>
          <w:b/>
          <w:sz w:val="20"/>
          <w:szCs w:val="16"/>
          <w:lang w:eastAsia="cs-CZ"/>
        </w:rPr>
        <w:t xml:space="preserve">plánuje navýšit daně pro zpětné odkupy akcií </w:t>
      </w:r>
      <w:r w:rsidRPr="009856FF">
        <w:rPr>
          <w:rFonts w:ascii="Verdana" w:hAnsi="Verdana"/>
          <w:sz w:val="20"/>
          <w:szCs w:val="16"/>
          <w:lang w:eastAsia="cs-CZ"/>
        </w:rPr>
        <w:t>(</w:t>
      </w:r>
      <w:proofErr w:type="spellStart"/>
      <w:r w:rsidRPr="009856FF">
        <w:rPr>
          <w:rFonts w:ascii="Verdana" w:hAnsi="Verdana"/>
          <w:sz w:val="20"/>
          <w:szCs w:val="16"/>
          <w:lang w:eastAsia="cs-CZ"/>
        </w:rPr>
        <w:t>buybacky</w:t>
      </w:r>
      <w:proofErr w:type="spellEnd"/>
      <w:r w:rsidRPr="009856FF">
        <w:rPr>
          <w:rFonts w:ascii="Verdana" w:hAnsi="Verdana"/>
          <w:sz w:val="20"/>
          <w:szCs w:val="16"/>
          <w:lang w:eastAsia="cs-CZ"/>
        </w:rPr>
        <w:t xml:space="preserve">) z 1 % na 4 %. Objem </w:t>
      </w:r>
      <w:proofErr w:type="spellStart"/>
      <w:r w:rsidRPr="009856FF">
        <w:rPr>
          <w:rFonts w:ascii="Verdana" w:hAnsi="Verdana"/>
          <w:sz w:val="20"/>
          <w:szCs w:val="16"/>
          <w:lang w:eastAsia="cs-CZ"/>
        </w:rPr>
        <w:t>buybacků</w:t>
      </w:r>
      <w:proofErr w:type="spellEnd"/>
      <w:r w:rsidRPr="009856FF">
        <w:rPr>
          <w:rFonts w:ascii="Verdana" w:hAnsi="Verdana"/>
          <w:sz w:val="20"/>
          <w:szCs w:val="16"/>
          <w:lang w:eastAsia="cs-CZ"/>
        </w:rPr>
        <w:t xml:space="preserve"> v USA by měl letos přesáhnout 900 miliard dolarů. Když společnosti odkupují své vlastní akcie, logicky tím tlačí nahoru jejich cenu. </w:t>
      </w:r>
      <w:r w:rsidRPr="009856FF">
        <w:rPr>
          <w:rFonts w:ascii="Verdana" w:hAnsi="Verdana"/>
          <w:b/>
          <w:sz w:val="20"/>
          <w:szCs w:val="16"/>
          <w:lang w:eastAsia="cs-CZ"/>
        </w:rPr>
        <w:t>Proto platí, že pokud reformy Harrisové učiní tuto praktiku méně výhodnou, tak ji firmy omezí, což bude mít za následek slabší výkonnost amerických akcií</w:t>
      </w:r>
      <w:r w:rsidRPr="009856FF">
        <w:rPr>
          <w:rFonts w:ascii="Verdana" w:hAnsi="Verdana"/>
          <w:sz w:val="20"/>
          <w:szCs w:val="16"/>
          <w:lang w:eastAsia="cs-CZ"/>
        </w:rPr>
        <w:t xml:space="preserve">. </w:t>
      </w:r>
    </w:p>
    <w:p w14:paraId="0099E5C2" w14:textId="77777777" w:rsidR="009856FF" w:rsidRPr="009856FF" w:rsidRDefault="009856FF" w:rsidP="009856FF">
      <w:pPr>
        <w:spacing w:line="360" w:lineRule="auto"/>
        <w:jc w:val="both"/>
        <w:rPr>
          <w:rFonts w:ascii="Verdana" w:hAnsi="Verdana"/>
          <w:sz w:val="20"/>
          <w:szCs w:val="16"/>
          <w:lang w:eastAsia="cs-CZ"/>
        </w:rPr>
      </w:pPr>
    </w:p>
    <w:p w14:paraId="2B10021E" w14:textId="77777777" w:rsidR="009856FF" w:rsidRPr="009856FF" w:rsidRDefault="009856FF" w:rsidP="009856FF">
      <w:pPr>
        <w:spacing w:line="360" w:lineRule="auto"/>
        <w:jc w:val="both"/>
        <w:rPr>
          <w:rFonts w:ascii="Verdana" w:hAnsi="Verdana"/>
          <w:b/>
          <w:sz w:val="20"/>
          <w:szCs w:val="16"/>
          <w:lang w:eastAsia="cs-CZ"/>
        </w:rPr>
      </w:pPr>
      <w:r w:rsidRPr="009856FF">
        <w:rPr>
          <w:rFonts w:ascii="Verdana" w:hAnsi="Verdana"/>
          <w:b/>
          <w:sz w:val="20"/>
          <w:szCs w:val="16"/>
          <w:lang w:eastAsia="cs-CZ"/>
        </w:rPr>
        <w:t>Trump: rychlý ekonomický růst, posílení akcií, vyšší dluhopisové výnosy a silnější dolar</w:t>
      </w:r>
    </w:p>
    <w:p w14:paraId="202E0D0C" w14:textId="50CC5E24"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 xml:space="preserve">Klíčovými předpoklady pro nástup Donalda Trumpa je deregulace a „reflace“ tedy zrychlení růstu ekonomiky. </w:t>
      </w:r>
      <w:r w:rsidRPr="009856FF">
        <w:rPr>
          <w:rFonts w:ascii="Verdana" w:hAnsi="Verdana"/>
          <w:b/>
          <w:sz w:val="20"/>
          <w:szCs w:val="16"/>
          <w:lang w:eastAsia="cs-CZ"/>
        </w:rPr>
        <w:t>To znamená, že by se mělo obecně dařit akciím</w:t>
      </w:r>
      <w:r w:rsidRPr="009856FF">
        <w:rPr>
          <w:rFonts w:ascii="Verdana" w:hAnsi="Verdana"/>
          <w:sz w:val="20"/>
          <w:szCs w:val="16"/>
          <w:lang w:eastAsia="cs-CZ"/>
        </w:rPr>
        <w:t xml:space="preserve">. Na druhou stranu by vítězství Donalda Trumpa </w:t>
      </w:r>
      <w:r w:rsidRPr="009856FF">
        <w:rPr>
          <w:rFonts w:ascii="Verdana" w:hAnsi="Verdana"/>
          <w:b/>
          <w:sz w:val="20"/>
          <w:szCs w:val="16"/>
          <w:lang w:eastAsia="cs-CZ"/>
        </w:rPr>
        <w:t>bylo spíše negativní pro dluhopisy</w:t>
      </w:r>
      <w:r w:rsidRPr="009856FF">
        <w:rPr>
          <w:rFonts w:ascii="Verdana" w:hAnsi="Verdana"/>
          <w:sz w:val="20"/>
          <w:szCs w:val="16"/>
          <w:lang w:eastAsia="cs-CZ"/>
        </w:rPr>
        <w:t>. Jeho hospodářská politika je značně prorůstová a rychlý ekonomický růst má tendenci způsobit rotaci investorů z dluhopisů do akcií (a tím pádem nárůst jejich výnosů). Pokud americký ekonomický růst vyčnívá</w:t>
      </w:r>
      <w:r w:rsidR="00B5330E">
        <w:rPr>
          <w:rFonts w:ascii="Verdana" w:hAnsi="Verdana"/>
          <w:sz w:val="20"/>
          <w:szCs w:val="16"/>
          <w:lang w:eastAsia="cs-CZ"/>
        </w:rPr>
        <w:t>,</w:t>
      </w:r>
      <w:r w:rsidRPr="009856FF">
        <w:rPr>
          <w:rFonts w:ascii="Verdana" w:hAnsi="Verdana"/>
          <w:sz w:val="20"/>
          <w:szCs w:val="16"/>
          <w:lang w:eastAsia="cs-CZ"/>
        </w:rPr>
        <w:t xml:space="preserve"> ve srovnání s</w:t>
      </w:r>
      <w:r w:rsidR="00B5330E">
        <w:rPr>
          <w:rFonts w:ascii="Verdana" w:hAnsi="Verdana"/>
          <w:sz w:val="20"/>
          <w:szCs w:val="16"/>
          <w:lang w:eastAsia="cs-CZ"/>
        </w:rPr>
        <w:t> </w:t>
      </w:r>
      <w:r w:rsidRPr="009856FF">
        <w:rPr>
          <w:rFonts w:ascii="Verdana" w:hAnsi="Verdana"/>
          <w:sz w:val="20"/>
          <w:szCs w:val="16"/>
          <w:lang w:eastAsia="cs-CZ"/>
        </w:rPr>
        <w:t xml:space="preserve">eurozónou má tendenci </w:t>
      </w:r>
      <w:r w:rsidRPr="009856FF">
        <w:rPr>
          <w:rFonts w:ascii="Verdana" w:hAnsi="Verdana"/>
          <w:b/>
          <w:sz w:val="20"/>
          <w:szCs w:val="16"/>
          <w:lang w:eastAsia="cs-CZ"/>
        </w:rPr>
        <w:t>posilovat dolar proti EUR</w:t>
      </w:r>
      <w:r w:rsidRPr="009856FF">
        <w:rPr>
          <w:rFonts w:ascii="Verdana" w:hAnsi="Verdana"/>
          <w:sz w:val="20"/>
          <w:szCs w:val="16"/>
          <w:lang w:eastAsia="cs-CZ"/>
        </w:rPr>
        <w:t xml:space="preserve">. </w:t>
      </w:r>
    </w:p>
    <w:p w14:paraId="21B743AA" w14:textId="01990501" w:rsidR="009856FF" w:rsidRPr="009856FF" w:rsidRDefault="009856FF" w:rsidP="009856FF">
      <w:pPr>
        <w:spacing w:line="360" w:lineRule="auto"/>
        <w:jc w:val="both"/>
        <w:rPr>
          <w:rFonts w:ascii="Verdana" w:hAnsi="Verdana"/>
          <w:sz w:val="20"/>
          <w:szCs w:val="16"/>
          <w:lang w:eastAsia="cs-CZ"/>
        </w:rPr>
      </w:pPr>
      <w:r w:rsidRPr="009856FF">
        <w:rPr>
          <w:rFonts w:ascii="Verdana" w:hAnsi="Verdana"/>
          <w:b/>
          <w:sz w:val="20"/>
          <w:szCs w:val="16"/>
          <w:lang w:eastAsia="cs-CZ"/>
        </w:rPr>
        <w:t>Sektorově by se dařilo akciím producentů fosilních paliv</w:t>
      </w:r>
      <w:r w:rsidRPr="009856FF">
        <w:rPr>
          <w:rFonts w:ascii="Verdana" w:hAnsi="Verdana"/>
          <w:sz w:val="20"/>
          <w:szCs w:val="16"/>
          <w:lang w:eastAsia="cs-CZ"/>
        </w:rPr>
        <w:t xml:space="preserve">. Donald Trump nepatří mezi zastánce podpory energie z obnovitelných zdrojů a nejpravděpodobněji by zrušil řadu opatření, které obnovitelné zdroje zvýhodňují – schválené během </w:t>
      </w:r>
      <w:proofErr w:type="spellStart"/>
      <w:r w:rsidRPr="009856FF">
        <w:rPr>
          <w:rFonts w:ascii="Verdana" w:hAnsi="Verdana"/>
          <w:sz w:val="20"/>
          <w:szCs w:val="16"/>
          <w:lang w:eastAsia="cs-CZ"/>
        </w:rPr>
        <w:t>Bidenova</w:t>
      </w:r>
      <w:proofErr w:type="spellEnd"/>
      <w:r w:rsidRPr="009856FF">
        <w:rPr>
          <w:rFonts w:ascii="Verdana" w:hAnsi="Verdana"/>
          <w:sz w:val="20"/>
          <w:szCs w:val="16"/>
          <w:lang w:eastAsia="cs-CZ"/>
        </w:rPr>
        <w:t xml:space="preserve"> funkčního období. </w:t>
      </w:r>
      <w:r w:rsidRPr="009856FF">
        <w:rPr>
          <w:rFonts w:ascii="Verdana" w:hAnsi="Verdana"/>
          <w:b/>
          <w:sz w:val="20"/>
          <w:szCs w:val="16"/>
          <w:lang w:eastAsia="cs-CZ"/>
        </w:rPr>
        <w:t>Z Trumpova vítězství by těžily akcie bank</w:t>
      </w:r>
      <w:r w:rsidRPr="009856FF">
        <w:rPr>
          <w:rFonts w:ascii="Verdana" w:hAnsi="Verdana"/>
          <w:sz w:val="20"/>
          <w:szCs w:val="16"/>
          <w:lang w:eastAsia="cs-CZ"/>
        </w:rPr>
        <w:t>. Republikánský prezident by pravděpodobně tlačil na určité snížení kapitálových požadavků, což by zlepšilo rentabilitu bankovního byznysu. Zřejmě by taktéž prosazoval určité zmírnění obezřetnostních opatření, kter</w:t>
      </w:r>
      <w:r>
        <w:rPr>
          <w:rFonts w:ascii="Verdana" w:hAnsi="Verdana"/>
          <w:sz w:val="20"/>
          <w:szCs w:val="16"/>
          <w:lang w:eastAsia="cs-CZ"/>
        </w:rPr>
        <w:t>á</w:t>
      </w:r>
      <w:r w:rsidRPr="009856FF">
        <w:rPr>
          <w:rFonts w:ascii="Verdana" w:hAnsi="Verdana"/>
          <w:sz w:val="20"/>
          <w:szCs w:val="16"/>
          <w:lang w:eastAsia="cs-CZ"/>
        </w:rPr>
        <w:t xml:space="preserve"> finanční domy musí dodržovat. Harrisová by naopak požadovala přísnější dohled i kapitálové požadavky, což by akcie finančních domů sráželo.</w:t>
      </w:r>
    </w:p>
    <w:p w14:paraId="0EAB98BB" w14:textId="0C612A28" w:rsidR="009856FF" w:rsidRDefault="009856FF" w:rsidP="009856FF">
      <w:pPr>
        <w:spacing w:line="360" w:lineRule="auto"/>
        <w:jc w:val="both"/>
        <w:rPr>
          <w:rFonts w:ascii="Verdana" w:hAnsi="Verdana"/>
          <w:sz w:val="20"/>
          <w:szCs w:val="16"/>
          <w:lang w:eastAsia="cs-CZ"/>
        </w:rPr>
      </w:pPr>
      <w:r w:rsidRPr="009856FF">
        <w:rPr>
          <w:rFonts w:ascii="Verdana" w:hAnsi="Verdana"/>
          <w:b/>
          <w:sz w:val="20"/>
          <w:szCs w:val="16"/>
          <w:lang w:eastAsia="cs-CZ"/>
        </w:rPr>
        <w:t xml:space="preserve">Po vítězství Donalda Trumpa by se dařilo tzv. </w:t>
      </w:r>
      <w:proofErr w:type="spellStart"/>
      <w:r w:rsidRPr="009856FF">
        <w:rPr>
          <w:rFonts w:ascii="Verdana" w:hAnsi="Verdana"/>
          <w:b/>
          <w:sz w:val="20"/>
          <w:szCs w:val="16"/>
          <w:lang w:eastAsia="cs-CZ"/>
        </w:rPr>
        <w:t>small</w:t>
      </w:r>
      <w:proofErr w:type="spellEnd"/>
      <w:r w:rsidRPr="009856FF">
        <w:rPr>
          <w:rFonts w:ascii="Verdana" w:hAnsi="Verdana"/>
          <w:b/>
          <w:sz w:val="20"/>
          <w:szCs w:val="16"/>
          <w:lang w:eastAsia="cs-CZ"/>
        </w:rPr>
        <w:t xml:space="preserve"> </w:t>
      </w:r>
      <w:proofErr w:type="spellStart"/>
      <w:r w:rsidRPr="009856FF">
        <w:rPr>
          <w:rFonts w:ascii="Verdana" w:hAnsi="Verdana"/>
          <w:b/>
          <w:sz w:val="20"/>
          <w:szCs w:val="16"/>
          <w:lang w:eastAsia="cs-CZ"/>
        </w:rPr>
        <w:t>capům</w:t>
      </w:r>
      <w:proofErr w:type="spellEnd"/>
      <w:r w:rsidRPr="009856FF">
        <w:rPr>
          <w:rFonts w:ascii="Verdana" w:hAnsi="Verdana"/>
          <w:sz w:val="20"/>
          <w:szCs w:val="16"/>
          <w:lang w:eastAsia="cs-CZ"/>
        </w:rPr>
        <w:t xml:space="preserve"> neboli akciím firem s menší tržní kapitalizací. </w:t>
      </w:r>
      <w:r w:rsidRPr="009856FF">
        <w:rPr>
          <w:rFonts w:ascii="Verdana" w:hAnsi="Verdana"/>
          <w:b/>
          <w:sz w:val="20"/>
          <w:szCs w:val="16"/>
          <w:lang w:eastAsia="cs-CZ"/>
        </w:rPr>
        <w:t>Ty se totiž disproporčně zaměřují na domácí americký trh a v menší míře se angažují v zahraničním obchodě</w:t>
      </w:r>
      <w:r w:rsidRPr="009856FF">
        <w:rPr>
          <w:rFonts w:ascii="Verdana" w:hAnsi="Verdana"/>
          <w:sz w:val="20"/>
          <w:szCs w:val="16"/>
          <w:lang w:eastAsia="cs-CZ"/>
        </w:rPr>
        <w:t xml:space="preserve">. Trumpova politika cel může vést k odvetným tarifům ze strany Číny a jiných obchodních partnerů, což by prodražilo americké exporty. Zároveň Trumpová politika cel zdraží dovozy do USA, což pocítí velké firmy, které se účastní zahraničního obchodu. Na </w:t>
      </w:r>
      <w:proofErr w:type="spellStart"/>
      <w:r w:rsidRPr="009856FF">
        <w:rPr>
          <w:rFonts w:ascii="Verdana" w:hAnsi="Verdana"/>
          <w:sz w:val="20"/>
          <w:szCs w:val="16"/>
          <w:lang w:eastAsia="cs-CZ"/>
        </w:rPr>
        <w:t>small</w:t>
      </w:r>
      <w:proofErr w:type="spellEnd"/>
      <w:r w:rsidRPr="009856FF">
        <w:rPr>
          <w:rFonts w:ascii="Verdana" w:hAnsi="Verdana"/>
          <w:sz w:val="20"/>
          <w:szCs w:val="16"/>
          <w:lang w:eastAsia="cs-CZ"/>
        </w:rPr>
        <w:t xml:space="preserve"> capy dopadnou tyto faktory méně výrazně, což učiní jejich výrobky více kompetitivní a tím pádem jejich akcie posílí.</w:t>
      </w:r>
    </w:p>
    <w:p w14:paraId="069AF429" w14:textId="77777777" w:rsidR="009856FF" w:rsidRPr="009856FF" w:rsidRDefault="009856FF" w:rsidP="009856FF">
      <w:pPr>
        <w:spacing w:line="360" w:lineRule="auto"/>
        <w:jc w:val="both"/>
        <w:rPr>
          <w:rFonts w:ascii="Verdana" w:hAnsi="Verdana"/>
          <w:sz w:val="20"/>
          <w:szCs w:val="16"/>
          <w:lang w:eastAsia="cs-CZ"/>
        </w:rPr>
      </w:pPr>
    </w:p>
    <w:p w14:paraId="680EF019" w14:textId="77777777" w:rsidR="009856FF" w:rsidRPr="009856FF" w:rsidRDefault="009856FF" w:rsidP="009856FF">
      <w:pPr>
        <w:spacing w:line="360" w:lineRule="auto"/>
        <w:jc w:val="both"/>
        <w:rPr>
          <w:rFonts w:ascii="Verdana" w:hAnsi="Verdana"/>
          <w:b/>
          <w:sz w:val="20"/>
          <w:szCs w:val="16"/>
          <w:lang w:eastAsia="cs-CZ"/>
        </w:rPr>
      </w:pPr>
      <w:r w:rsidRPr="009856FF">
        <w:rPr>
          <w:rFonts w:ascii="Verdana" w:hAnsi="Verdana"/>
          <w:b/>
          <w:sz w:val="20"/>
          <w:szCs w:val="16"/>
          <w:lang w:eastAsia="cs-CZ"/>
        </w:rPr>
        <w:t>Harrisová: akcie výrobců energií z obnovitelných zdrojů, nižší dluhopisové výnosy a slabší dolar</w:t>
      </w:r>
    </w:p>
    <w:p w14:paraId="201DCD15" w14:textId="77777777"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 xml:space="preserve">Politika Kamaly Harrisové je méně prorůstová, proto by </w:t>
      </w:r>
      <w:r w:rsidRPr="009856FF">
        <w:rPr>
          <w:rFonts w:ascii="Verdana" w:hAnsi="Verdana"/>
          <w:b/>
          <w:sz w:val="20"/>
          <w:szCs w:val="16"/>
          <w:lang w:eastAsia="cs-CZ"/>
        </w:rPr>
        <w:t>v případě jejího vítězství investoři ve větší míře nakupovali defenzivní vládní dluhopisy a jejich výnosy by tak klesaly</w:t>
      </w:r>
      <w:r w:rsidRPr="009856FF">
        <w:rPr>
          <w:rFonts w:ascii="Verdana" w:hAnsi="Verdana"/>
          <w:sz w:val="20"/>
          <w:szCs w:val="16"/>
          <w:lang w:eastAsia="cs-CZ"/>
        </w:rPr>
        <w:t xml:space="preserve">. Méně agresivní prorůstová politika a zároveň méně protekcionismu v zahraničním obchodě by vedlo k určitému posílení EUR vůči USD. </w:t>
      </w:r>
    </w:p>
    <w:p w14:paraId="32516044" w14:textId="669A3430" w:rsidR="009856FF" w:rsidRPr="009856FF" w:rsidRDefault="009856FF" w:rsidP="009856FF">
      <w:pPr>
        <w:spacing w:line="360" w:lineRule="auto"/>
        <w:jc w:val="both"/>
        <w:rPr>
          <w:rFonts w:ascii="Verdana" w:hAnsi="Verdana"/>
          <w:sz w:val="20"/>
          <w:szCs w:val="16"/>
          <w:lang w:eastAsia="cs-CZ"/>
        </w:rPr>
      </w:pPr>
      <w:r w:rsidRPr="009856FF">
        <w:rPr>
          <w:rFonts w:ascii="Verdana" w:hAnsi="Verdana"/>
          <w:b/>
          <w:sz w:val="20"/>
          <w:szCs w:val="16"/>
          <w:lang w:eastAsia="cs-CZ"/>
        </w:rPr>
        <w:t>Výhra Kamaly Harrisové by hrála do karet zejména producentům energií z obnovitelných zdrojů</w:t>
      </w:r>
      <w:r w:rsidRPr="009856FF">
        <w:rPr>
          <w:rFonts w:ascii="Verdana" w:hAnsi="Verdana"/>
          <w:sz w:val="20"/>
          <w:szCs w:val="16"/>
          <w:lang w:eastAsia="cs-CZ"/>
        </w:rPr>
        <w:t xml:space="preserve">. Harrisová by rozhodně pokračovala v </w:t>
      </w:r>
      <w:proofErr w:type="spellStart"/>
      <w:r w:rsidRPr="009856FF">
        <w:rPr>
          <w:rFonts w:ascii="Verdana" w:hAnsi="Verdana"/>
          <w:sz w:val="20"/>
          <w:szCs w:val="16"/>
          <w:lang w:eastAsia="cs-CZ"/>
        </w:rPr>
        <w:t>Inflation</w:t>
      </w:r>
      <w:proofErr w:type="spellEnd"/>
      <w:r w:rsidRPr="009856FF">
        <w:rPr>
          <w:rFonts w:ascii="Verdana" w:hAnsi="Verdana"/>
          <w:sz w:val="20"/>
          <w:szCs w:val="16"/>
          <w:lang w:eastAsia="cs-CZ"/>
        </w:rPr>
        <w:t xml:space="preserve"> </w:t>
      </w:r>
      <w:proofErr w:type="spellStart"/>
      <w:r w:rsidRPr="009856FF">
        <w:rPr>
          <w:rFonts w:ascii="Verdana" w:hAnsi="Verdana"/>
          <w:sz w:val="20"/>
          <w:szCs w:val="16"/>
          <w:lang w:eastAsia="cs-CZ"/>
        </w:rPr>
        <w:t>Reduction</w:t>
      </w:r>
      <w:proofErr w:type="spellEnd"/>
      <w:r w:rsidRPr="009856FF">
        <w:rPr>
          <w:rFonts w:ascii="Verdana" w:hAnsi="Verdana"/>
          <w:sz w:val="20"/>
          <w:szCs w:val="16"/>
          <w:lang w:eastAsia="cs-CZ"/>
        </w:rPr>
        <w:t xml:space="preserve"> </w:t>
      </w:r>
      <w:proofErr w:type="spellStart"/>
      <w:r w:rsidRPr="009856FF">
        <w:rPr>
          <w:rFonts w:ascii="Verdana" w:hAnsi="Verdana"/>
          <w:sz w:val="20"/>
          <w:szCs w:val="16"/>
          <w:lang w:eastAsia="cs-CZ"/>
        </w:rPr>
        <w:t>Act</w:t>
      </w:r>
      <w:proofErr w:type="spellEnd"/>
      <w:r w:rsidRPr="009856FF">
        <w:rPr>
          <w:rFonts w:ascii="Verdana" w:hAnsi="Verdana"/>
          <w:sz w:val="20"/>
          <w:szCs w:val="16"/>
          <w:lang w:eastAsia="cs-CZ"/>
        </w:rPr>
        <w:t xml:space="preserve">, což je dlouhodobější plán investic do čistých energií v objemu 370 mld. USD schválený během </w:t>
      </w:r>
      <w:proofErr w:type="spellStart"/>
      <w:r w:rsidRPr="009856FF">
        <w:rPr>
          <w:rFonts w:ascii="Verdana" w:hAnsi="Verdana"/>
          <w:sz w:val="20"/>
          <w:szCs w:val="16"/>
          <w:lang w:eastAsia="cs-CZ"/>
        </w:rPr>
        <w:t>Bidenova</w:t>
      </w:r>
      <w:proofErr w:type="spellEnd"/>
      <w:r w:rsidRPr="009856FF">
        <w:rPr>
          <w:rFonts w:ascii="Verdana" w:hAnsi="Verdana"/>
          <w:sz w:val="20"/>
          <w:szCs w:val="16"/>
          <w:lang w:eastAsia="cs-CZ"/>
        </w:rPr>
        <w:t xml:space="preserve"> funkčního období. Lze předpokládat, že Harrisová tuto cílovou investiční částku ještě více navýší. Na druhou stranu </w:t>
      </w:r>
      <w:r w:rsidRPr="009856FF">
        <w:rPr>
          <w:rFonts w:ascii="Verdana" w:hAnsi="Verdana"/>
          <w:b/>
          <w:sz w:val="20"/>
          <w:szCs w:val="16"/>
          <w:lang w:eastAsia="cs-CZ"/>
        </w:rPr>
        <w:t>Harrisová zřejmě zaujme tvrdší postoj vůči producentům energií z fosilních paliv</w:t>
      </w:r>
      <w:r w:rsidRPr="009856FF">
        <w:rPr>
          <w:rFonts w:ascii="Verdana" w:hAnsi="Verdana"/>
          <w:sz w:val="20"/>
          <w:szCs w:val="16"/>
          <w:lang w:eastAsia="cs-CZ"/>
        </w:rPr>
        <w:t xml:space="preserve"> (plánuje Americkou </w:t>
      </w:r>
      <w:r w:rsidRPr="009856FF">
        <w:rPr>
          <w:rFonts w:ascii="Verdana" w:hAnsi="Verdana"/>
          <w:sz w:val="20"/>
          <w:szCs w:val="16"/>
          <w:lang w:eastAsia="cs-CZ"/>
        </w:rPr>
        <w:lastRenderedPageBreak/>
        <w:t xml:space="preserve">obdobu Green </w:t>
      </w:r>
      <w:proofErr w:type="spellStart"/>
      <w:r w:rsidRPr="009856FF">
        <w:rPr>
          <w:rFonts w:ascii="Verdana" w:hAnsi="Verdana"/>
          <w:sz w:val="20"/>
          <w:szCs w:val="16"/>
          <w:lang w:eastAsia="cs-CZ"/>
        </w:rPr>
        <w:t>Dealu</w:t>
      </w:r>
      <w:proofErr w:type="spellEnd"/>
      <w:r w:rsidRPr="009856FF">
        <w:rPr>
          <w:rFonts w:ascii="Verdana" w:hAnsi="Verdana"/>
          <w:sz w:val="20"/>
          <w:szCs w:val="16"/>
          <w:lang w:eastAsia="cs-CZ"/>
        </w:rPr>
        <w:t xml:space="preserve"> – tj. snahu o uhlíkovou neutralitu do roku 2050)</w:t>
      </w:r>
      <w:r w:rsidR="002B4F00">
        <w:rPr>
          <w:rFonts w:ascii="Verdana" w:hAnsi="Verdana"/>
          <w:sz w:val="20"/>
          <w:szCs w:val="16"/>
          <w:lang w:eastAsia="cs-CZ"/>
        </w:rPr>
        <w:t>,</w:t>
      </w:r>
      <w:r w:rsidRPr="009856FF">
        <w:rPr>
          <w:rFonts w:ascii="Verdana" w:hAnsi="Verdana"/>
          <w:sz w:val="20"/>
          <w:szCs w:val="16"/>
          <w:lang w:eastAsia="cs-CZ"/>
        </w:rPr>
        <w:t xml:space="preserve"> a proto zřejmě bude více tlačit na ropné firmy, aby dodržovaly přísnější environmentální standardy.</w:t>
      </w:r>
    </w:p>
    <w:p w14:paraId="76E6EF09" w14:textId="1C6EDD19"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Vítězství Kamaly Harrisové by mohly na první pohled překvapivě uvítat firmy ze sektoru Big Tech. Těm sice příliš nesvědčí zvýšení korporátních daně, které by Harrisová zavedla</w:t>
      </w:r>
      <w:r w:rsidR="002B4F00">
        <w:rPr>
          <w:rFonts w:ascii="Verdana" w:hAnsi="Verdana"/>
          <w:sz w:val="20"/>
          <w:szCs w:val="16"/>
          <w:lang w:eastAsia="cs-CZ"/>
        </w:rPr>
        <w:t xml:space="preserve">, </w:t>
      </w:r>
      <w:r w:rsidR="002B4F00">
        <w:rPr>
          <w:rFonts w:ascii="Verdana" w:hAnsi="Verdana"/>
          <w:b/>
          <w:sz w:val="20"/>
          <w:szCs w:val="16"/>
          <w:lang w:eastAsia="cs-CZ"/>
        </w:rPr>
        <w:t>t</w:t>
      </w:r>
      <w:r w:rsidRPr="009856FF">
        <w:rPr>
          <w:rFonts w:ascii="Verdana" w:hAnsi="Verdana"/>
          <w:b/>
          <w:sz w:val="20"/>
          <w:szCs w:val="16"/>
          <w:lang w:eastAsia="cs-CZ"/>
        </w:rPr>
        <w:t>echnologickým gigantům by ovšem vyhovovala benevolentnější antitrustová politika, kterou by Harrisová prosazovala</w:t>
      </w:r>
      <w:r w:rsidRPr="009856FF">
        <w:rPr>
          <w:rFonts w:ascii="Verdana" w:hAnsi="Verdana"/>
          <w:sz w:val="20"/>
          <w:szCs w:val="16"/>
          <w:lang w:eastAsia="cs-CZ"/>
        </w:rPr>
        <w:t xml:space="preserve">. Tj. velké technologické firmy by čelily menšímu tlaku na rozdělení. </w:t>
      </w:r>
    </w:p>
    <w:p w14:paraId="22FA7703" w14:textId="77777777" w:rsidR="009856FF" w:rsidRDefault="009856FF" w:rsidP="009856FF">
      <w:pPr>
        <w:spacing w:line="360" w:lineRule="auto"/>
        <w:jc w:val="both"/>
        <w:rPr>
          <w:rFonts w:ascii="Verdana" w:hAnsi="Verdana"/>
          <w:b/>
          <w:sz w:val="20"/>
          <w:szCs w:val="16"/>
          <w:lang w:eastAsia="cs-CZ"/>
        </w:rPr>
      </w:pPr>
    </w:p>
    <w:p w14:paraId="146D2069" w14:textId="24A32CCD" w:rsidR="009856FF" w:rsidRPr="009856FF" w:rsidRDefault="009856FF" w:rsidP="009856FF">
      <w:pPr>
        <w:spacing w:line="360" w:lineRule="auto"/>
        <w:jc w:val="both"/>
        <w:rPr>
          <w:rFonts w:ascii="Verdana" w:hAnsi="Verdana"/>
          <w:b/>
          <w:sz w:val="20"/>
          <w:szCs w:val="16"/>
          <w:lang w:eastAsia="cs-CZ"/>
        </w:rPr>
      </w:pPr>
      <w:r w:rsidRPr="009856FF">
        <w:rPr>
          <w:rFonts w:ascii="Verdana" w:hAnsi="Verdana"/>
          <w:b/>
          <w:sz w:val="20"/>
          <w:szCs w:val="16"/>
          <w:lang w:eastAsia="cs-CZ"/>
        </w:rPr>
        <w:t>Jak se bude dařit jednotlivým aktivům bezprostředně po volbách?</w:t>
      </w:r>
    </w:p>
    <w:p w14:paraId="3981249A" w14:textId="4B2AD750"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Následující tabulka shrnuje, jaký bude bezprostřední vliv vítězství jednotlivých kandidátů na konkrétní aktiva. V tabulce nalezne</w:t>
      </w:r>
      <w:r w:rsidR="002B4F00">
        <w:rPr>
          <w:rFonts w:ascii="Verdana" w:hAnsi="Verdana"/>
          <w:sz w:val="20"/>
          <w:szCs w:val="16"/>
          <w:lang w:eastAsia="cs-CZ"/>
        </w:rPr>
        <w:t>me</w:t>
      </w:r>
      <w:r w:rsidRPr="009856FF">
        <w:rPr>
          <w:rFonts w:ascii="Verdana" w:hAnsi="Verdana"/>
          <w:sz w:val="20"/>
          <w:szCs w:val="16"/>
          <w:lang w:eastAsia="cs-CZ"/>
        </w:rPr>
        <w:t xml:space="preserve"> předpokládaný pohyb cen jednotlivých aktiv za pět obchodních dní od konání voleb (5.11.2024). </w:t>
      </w:r>
      <w:r w:rsidRPr="009856FF">
        <w:rPr>
          <w:rFonts w:ascii="Verdana" w:hAnsi="Verdana"/>
          <w:b/>
          <w:sz w:val="20"/>
          <w:szCs w:val="16"/>
          <w:lang w:eastAsia="cs-CZ"/>
        </w:rPr>
        <w:t>Jde pouze o předpokládaný vliv výsledku voleb na cenu daného aktiva</w:t>
      </w:r>
      <w:r w:rsidRPr="009856FF">
        <w:rPr>
          <w:rFonts w:ascii="Verdana" w:hAnsi="Verdana"/>
          <w:sz w:val="20"/>
          <w:szCs w:val="16"/>
          <w:lang w:eastAsia="cs-CZ"/>
        </w:rPr>
        <w:t xml:space="preserve">. Tj. níže uvedená čísla neberou v potaz, že aktiva mohou v těchto dnech ovlivnit i jiné faktory (např. </w:t>
      </w:r>
      <w:proofErr w:type="spellStart"/>
      <w:r w:rsidRPr="009856FF">
        <w:rPr>
          <w:rFonts w:ascii="Verdana" w:hAnsi="Verdana"/>
          <w:sz w:val="20"/>
          <w:szCs w:val="16"/>
          <w:lang w:eastAsia="cs-CZ"/>
        </w:rPr>
        <w:t>makrodata</w:t>
      </w:r>
      <w:proofErr w:type="spellEnd"/>
      <w:r w:rsidRPr="009856FF">
        <w:rPr>
          <w:rFonts w:ascii="Verdana" w:hAnsi="Verdana"/>
          <w:sz w:val="20"/>
          <w:szCs w:val="16"/>
          <w:lang w:eastAsia="cs-CZ"/>
        </w:rPr>
        <w:t xml:space="preserve">). </w:t>
      </w:r>
    </w:p>
    <w:tbl>
      <w:tblPr>
        <w:tblW w:w="10440" w:type="dxa"/>
        <w:tblCellMar>
          <w:left w:w="70" w:type="dxa"/>
          <w:right w:w="70" w:type="dxa"/>
        </w:tblCellMar>
        <w:tblLook w:val="04A0" w:firstRow="1" w:lastRow="0" w:firstColumn="1" w:lastColumn="0" w:noHBand="0" w:noVBand="1"/>
      </w:tblPr>
      <w:tblGrid>
        <w:gridCol w:w="2257"/>
        <w:gridCol w:w="5383"/>
        <w:gridCol w:w="1158"/>
        <w:gridCol w:w="1642"/>
      </w:tblGrid>
      <w:tr w:rsidR="00FB7BEC" w:rsidRPr="00FB7BEC" w14:paraId="419DFA1D" w14:textId="77777777" w:rsidTr="00FB7BEC">
        <w:trPr>
          <w:trHeight w:val="291"/>
        </w:trPr>
        <w:tc>
          <w:tcPr>
            <w:tcW w:w="2257" w:type="dxa"/>
            <w:tcBorders>
              <w:top w:val="single" w:sz="4" w:space="0" w:color="808080"/>
              <w:left w:val="single" w:sz="4" w:space="0" w:color="808080"/>
              <w:bottom w:val="single" w:sz="4" w:space="0" w:color="808080"/>
              <w:right w:val="single" w:sz="4" w:space="0" w:color="808080"/>
            </w:tcBorders>
            <w:shd w:val="clear" w:color="FFC000" w:fill="FFC000"/>
            <w:noWrap/>
            <w:vAlign w:val="bottom"/>
            <w:hideMark/>
          </w:tcPr>
          <w:p w14:paraId="7681B4A5" w14:textId="77777777" w:rsidR="00FB7BEC" w:rsidRPr="00FB7BEC" w:rsidRDefault="00FB7BEC" w:rsidP="00FB7BEC">
            <w:pPr>
              <w:spacing w:after="0" w:line="240" w:lineRule="auto"/>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Třída aktiv</w:t>
            </w:r>
          </w:p>
        </w:tc>
        <w:tc>
          <w:tcPr>
            <w:tcW w:w="5383" w:type="dxa"/>
            <w:tcBorders>
              <w:top w:val="single" w:sz="4" w:space="0" w:color="808080"/>
              <w:left w:val="nil"/>
              <w:bottom w:val="single" w:sz="4" w:space="0" w:color="808080"/>
              <w:right w:val="single" w:sz="4" w:space="0" w:color="808080"/>
            </w:tcBorders>
            <w:shd w:val="clear" w:color="FFC000" w:fill="FFC000"/>
            <w:noWrap/>
            <w:vAlign w:val="bottom"/>
            <w:hideMark/>
          </w:tcPr>
          <w:p w14:paraId="68FC263C" w14:textId="77777777" w:rsidR="00FB7BEC" w:rsidRPr="00FB7BEC" w:rsidRDefault="00FB7BEC" w:rsidP="00FB7BEC">
            <w:pPr>
              <w:spacing w:after="0" w:line="240" w:lineRule="auto"/>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Aktivum</w:t>
            </w:r>
          </w:p>
        </w:tc>
        <w:tc>
          <w:tcPr>
            <w:tcW w:w="1158" w:type="dxa"/>
            <w:tcBorders>
              <w:top w:val="single" w:sz="4" w:space="0" w:color="808080"/>
              <w:left w:val="nil"/>
              <w:bottom w:val="single" w:sz="4" w:space="0" w:color="808080"/>
              <w:right w:val="single" w:sz="4" w:space="0" w:color="808080"/>
            </w:tcBorders>
            <w:shd w:val="clear" w:color="FFC000" w:fill="FFC000"/>
            <w:noWrap/>
            <w:vAlign w:val="bottom"/>
            <w:hideMark/>
          </w:tcPr>
          <w:p w14:paraId="2C53B539" w14:textId="77777777" w:rsidR="00FB7BEC" w:rsidRPr="00FB7BEC" w:rsidRDefault="00FB7BEC" w:rsidP="00FB7BEC">
            <w:pPr>
              <w:spacing w:after="0" w:line="240" w:lineRule="auto"/>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Trump</w:t>
            </w:r>
          </w:p>
        </w:tc>
        <w:tc>
          <w:tcPr>
            <w:tcW w:w="1642" w:type="dxa"/>
            <w:tcBorders>
              <w:top w:val="single" w:sz="4" w:space="0" w:color="808080"/>
              <w:left w:val="nil"/>
              <w:bottom w:val="single" w:sz="4" w:space="0" w:color="808080"/>
              <w:right w:val="single" w:sz="4" w:space="0" w:color="808080"/>
            </w:tcBorders>
            <w:shd w:val="clear" w:color="FFC000" w:fill="FFC000"/>
            <w:noWrap/>
            <w:vAlign w:val="bottom"/>
            <w:hideMark/>
          </w:tcPr>
          <w:p w14:paraId="225C14FD" w14:textId="77777777" w:rsidR="00FB7BEC" w:rsidRPr="00FB7BEC" w:rsidRDefault="00FB7BEC" w:rsidP="00FB7BEC">
            <w:pPr>
              <w:spacing w:after="0" w:line="240" w:lineRule="auto"/>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Harrisová</w:t>
            </w:r>
          </w:p>
        </w:tc>
      </w:tr>
      <w:tr w:rsidR="00FB7BEC" w:rsidRPr="00FB7BEC" w14:paraId="362690C9" w14:textId="77777777" w:rsidTr="00FB7BEC">
        <w:trPr>
          <w:trHeight w:val="291"/>
        </w:trPr>
        <w:tc>
          <w:tcPr>
            <w:tcW w:w="2257"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490F9F5" w14:textId="77777777" w:rsidR="00FB7BEC" w:rsidRPr="00FB7BEC" w:rsidRDefault="00FB7BEC" w:rsidP="00FB7BEC">
            <w:pPr>
              <w:spacing w:after="0" w:line="240" w:lineRule="auto"/>
              <w:jc w:val="center"/>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Akcie</w:t>
            </w:r>
          </w:p>
        </w:tc>
        <w:tc>
          <w:tcPr>
            <w:tcW w:w="5383" w:type="dxa"/>
            <w:tcBorders>
              <w:top w:val="nil"/>
              <w:left w:val="nil"/>
              <w:bottom w:val="nil"/>
              <w:right w:val="single" w:sz="4" w:space="0" w:color="808080"/>
            </w:tcBorders>
            <w:shd w:val="clear" w:color="auto" w:fill="auto"/>
            <w:noWrap/>
            <w:vAlign w:val="bottom"/>
            <w:hideMark/>
          </w:tcPr>
          <w:p w14:paraId="28D21A86" w14:textId="77777777" w:rsidR="00FB7BEC" w:rsidRPr="00FB7BEC" w:rsidRDefault="00FB7BEC" w:rsidP="00FB7BEC">
            <w:pPr>
              <w:spacing w:after="0" w:line="240" w:lineRule="auto"/>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S&amp;P 500</w:t>
            </w:r>
          </w:p>
        </w:tc>
        <w:tc>
          <w:tcPr>
            <w:tcW w:w="1158" w:type="dxa"/>
            <w:tcBorders>
              <w:top w:val="nil"/>
              <w:left w:val="nil"/>
              <w:bottom w:val="nil"/>
              <w:right w:val="single" w:sz="4" w:space="0" w:color="808080"/>
            </w:tcBorders>
            <w:shd w:val="clear" w:color="auto" w:fill="auto"/>
            <w:noWrap/>
            <w:vAlign w:val="bottom"/>
            <w:hideMark/>
          </w:tcPr>
          <w:p w14:paraId="1F505D73" w14:textId="249C7145"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3,2</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c>
          <w:tcPr>
            <w:tcW w:w="1642" w:type="dxa"/>
            <w:tcBorders>
              <w:top w:val="nil"/>
              <w:left w:val="nil"/>
              <w:bottom w:val="nil"/>
              <w:right w:val="single" w:sz="4" w:space="0" w:color="808080"/>
            </w:tcBorders>
            <w:shd w:val="clear" w:color="auto" w:fill="auto"/>
            <w:noWrap/>
            <w:vAlign w:val="bottom"/>
            <w:hideMark/>
          </w:tcPr>
          <w:p w14:paraId="691DC54A" w14:textId="4B46F5CA"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-1,7</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r>
      <w:tr w:rsidR="00FB7BEC" w:rsidRPr="00FB7BEC" w14:paraId="45063DAF" w14:textId="77777777" w:rsidTr="00FB7BEC">
        <w:trPr>
          <w:trHeight w:val="291"/>
        </w:trPr>
        <w:tc>
          <w:tcPr>
            <w:tcW w:w="2257" w:type="dxa"/>
            <w:vMerge/>
            <w:tcBorders>
              <w:top w:val="nil"/>
              <w:left w:val="single" w:sz="4" w:space="0" w:color="808080"/>
              <w:bottom w:val="single" w:sz="4" w:space="0" w:color="808080"/>
              <w:right w:val="single" w:sz="4" w:space="0" w:color="808080"/>
            </w:tcBorders>
            <w:vAlign w:val="center"/>
            <w:hideMark/>
          </w:tcPr>
          <w:p w14:paraId="008D2DE3" w14:textId="77777777" w:rsidR="00FB7BEC" w:rsidRPr="00FB7BEC" w:rsidRDefault="00FB7BEC" w:rsidP="00FB7BEC">
            <w:pPr>
              <w:spacing w:after="0" w:line="240" w:lineRule="auto"/>
              <w:rPr>
                <w:rFonts w:ascii="Verdana" w:eastAsia="Times New Roman" w:hAnsi="Verdana" w:cs="Calibri"/>
                <w:b/>
                <w:bCs/>
                <w:color w:val="000000"/>
                <w:sz w:val="22"/>
                <w:lang w:eastAsia="cs-CZ"/>
              </w:rPr>
            </w:pPr>
          </w:p>
        </w:tc>
        <w:tc>
          <w:tcPr>
            <w:tcW w:w="5383" w:type="dxa"/>
            <w:tcBorders>
              <w:top w:val="nil"/>
              <w:left w:val="nil"/>
              <w:bottom w:val="nil"/>
              <w:right w:val="single" w:sz="4" w:space="0" w:color="808080"/>
            </w:tcBorders>
            <w:shd w:val="clear" w:color="auto" w:fill="auto"/>
            <w:noWrap/>
            <w:vAlign w:val="bottom"/>
            <w:hideMark/>
          </w:tcPr>
          <w:p w14:paraId="43262027" w14:textId="77777777" w:rsidR="00FB7BEC" w:rsidRPr="00FB7BEC" w:rsidRDefault="00FB7BEC" w:rsidP="00FB7BEC">
            <w:pPr>
              <w:spacing w:after="0" w:line="240" w:lineRule="auto"/>
              <w:rPr>
                <w:rFonts w:ascii="Verdana" w:eastAsia="Times New Roman" w:hAnsi="Verdana" w:cs="Calibri"/>
                <w:color w:val="000000"/>
                <w:sz w:val="22"/>
                <w:lang w:eastAsia="cs-CZ"/>
              </w:rPr>
            </w:pPr>
            <w:proofErr w:type="spellStart"/>
            <w:r w:rsidRPr="00FB7BEC">
              <w:rPr>
                <w:rFonts w:ascii="Verdana" w:eastAsia="Times New Roman" w:hAnsi="Verdana" w:cs="Calibri"/>
                <w:color w:val="000000"/>
                <w:sz w:val="22"/>
                <w:lang w:eastAsia="cs-CZ"/>
              </w:rPr>
              <w:t>Small</w:t>
            </w:r>
            <w:proofErr w:type="spellEnd"/>
            <w:r w:rsidRPr="00FB7BEC">
              <w:rPr>
                <w:rFonts w:ascii="Verdana" w:eastAsia="Times New Roman" w:hAnsi="Verdana" w:cs="Calibri"/>
                <w:color w:val="000000"/>
                <w:sz w:val="22"/>
                <w:lang w:eastAsia="cs-CZ"/>
              </w:rPr>
              <w:t xml:space="preserve"> Caps (</w:t>
            </w:r>
            <w:proofErr w:type="spellStart"/>
            <w:r w:rsidRPr="00FB7BEC">
              <w:rPr>
                <w:rFonts w:ascii="Verdana" w:eastAsia="Times New Roman" w:hAnsi="Verdana" w:cs="Calibri"/>
                <w:color w:val="000000"/>
                <w:sz w:val="22"/>
                <w:lang w:eastAsia="cs-CZ"/>
              </w:rPr>
              <w:t>Rusell</w:t>
            </w:r>
            <w:proofErr w:type="spellEnd"/>
            <w:r w:rsidRPr="00FB7BEC">
              <w:rPr>
                <w:rFonts w:ascii="Verdana" w:eastAsia="Times New Roman" w:hAnsi="Verdana" w:cs="Calibri"/>
                <w:color w:val="000000"/>
                <w:sz w:val="22"/>
                <w:lang w:eastAsia="cs-CZ"/>
              </w:rPr>
              <w:t xml:space="preserve"> 2000)</w:t>
            </w:r>
          </w:p>
        </w:tc>
        <w:tc>
          <w:tcPr>
            <w:tcW w:w="1158" w:type="dxa"/>
            <w:tcBorders>
              <w:top w:val="nil"/>
              <w:left w:val="nil"/>
              <w:bottom w:val="nil"/>
              <w:right w:val="single" w:sz="4" w:space="0" w:color="808080"/>
            </w:tcBorders>
            <w:shd w:val="clear" w:color="auto" w:fill="auto"/>
            <w:noWrap/>
            <w:vAlign w:val="bottom"/>
            <w:hideMark/>
          </w:tcPr>
          <w:p w14:paraId="28AC44F9" w14:textId="20B21F0A"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8,4</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c>
          <w:tcPr>
            <w:tcW w:w="1642" w:type="dxa"/>
            <w:tcBorders>
              <w:top w:val="nil"/>
              <w:left w:val="nil"/>
              <w:bottom w:val="nil"/>
              <w:right w:val="single" w:sz="4" w:space="0" w:color="808080"/>
            </w:tcBorders>
            <w:shd w:val="clear" w:color="auto" w:fill="auto"/>
            <w:noWrap/>
            <w:vAlign w:val="bottom"/>
            <w:hideMark/>
          </w:tcPr>
          <w:p w14:paraId="73DECA5D" w14:textId="5AC4CF06"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-6,7</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r>
      <w:tr w:rsidR="00FB7BEC" w:rsidRPr="00FB7BEC" w14:paraId="3B20D495" w14:textId="77777777" w:rsidTr="00FB7BEC">
        <w:trPr>
          <w:trHeight w:val="291"/>
        </w:trPr>
        <w:tc>
          <w:tcPr>
            <w:tcW w:w="2257" w:type="dxa"/>
            <w:vMerge/>
            <w:tcBorders>
              <w:top w:val="nil"/>
              <w:left w:val="single" w:sz="4" w:space="0" w:color="808080"/>
              <w:bottom w:val="single" w:sz="4" w:space="0" w:color="808080"/>
              <w:right w:val="single" w:sz="4" w:space="0" w:color="808080"/>
            </w:tcBorders>
            <w:vAlign w:val="center"/>
            <w:hideMark/>
          </w:tcPr>
          <w:p w14:paraId="1B792BA2" w14:textId="77777777" w:rsidR="00FB7BEC" w:rsidRPr="00FB7BEC" w:rsidRDefault="00FB7BEC" w:rsidP="00FB7BEC">
            <w:pPr>
              <w:spacing w:after="0" w:line="240" w:lineRule="auto"/>
              <w:rPr>
                <w:rFonts w:ascii="Verdana" w:eastAsia="Times New Roman" w:hAnsi="Verdana" w:cs="Calibri"/>
                <w:b/>
                <w:bCs/>
                <w:color w:val="000000"/>
                <w:sz w:val="22"/>
                <w:lang w:eastAsia="cs-CZ"/>
              </w:rPr>
            </w:pPr>
          </w:p>
        </w:tc>
        <w:tc>
          <w:tcPr>
            <w:tcW w:w="5383" w:type="dxa"/>
            <w:tcBorders>
              <w:top w:val="nil"/>
              <w:left w:val="nil"/>
              <w:bottom w:val="nil"/>
              <w:right w:val="single" w:sz="4" w:space="0" w:color="808080"/>
            </w:tcBorders>
            <w:shd w:val="clear" w:color="auto" w:fill="auto"/>
            <w:noWrap/>
            <w:vAlign w:val="bottom"/>
            <w:hideMark/>
          </w:tcPr>
          <w:p w14:paraId="128B9D27" w14:textId="77777777" w:rsidR="00FB7BEC" w:rsidRPr="00FB7BEC" w:rsidRDefault="00FB7BEC" w:rsidP="00FB7BEC">
            <w:pPr>
              <w:spacing w:after="0" w:line="240" w:lineRule="auto"/>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Banky (KBW Bank Index)</w:t>
            </w:r>
          </w:p>
        </w:tc>
        <w:tc>
          <w:tcPr>
            <w:tcW w:w="1158" w:type="dxa"/>
            <w:tcBorders>
              <w:top w:val="nil"/>
              <w:left w:val="nil"/>
              <w:bottom w:val="nil"/>
              <w:right w:val="single" w:sz="4" w:space="0" w:color="808080"/>
            </w:tcBorders>
            <w:shd w:val="clear" w:color="auto" w:fill="auto"/>
            <w:noWrap/>
            <w:vAlign w:val="bottom"/>
            <w:hideMark/>
          </w:tcPr>
          <w:p w14:paraId="11189698" w14:textId="6C5D743C"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5,4</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c>
          <w:tcPr>
            <w:tcW w:w="1642" w:type="dxa"/>
            <w:tcBorders>
              <w:top w:val="nil"/>
              <w:left w:val="nil"/>
              <w:bottom w:val="nil"/>
              <w:right w:val="single" w:sz="4" w:space="0" w:color="808080"/>
            </w:tcBorders>
            <w:shd w:val="clear" w:color="auto" w:fill="auto"/>
            <w:noWrap/>
            <w:vAlign w:val="bottom"/>
            <w:hideMark/>
          </w:tcPr>
          <w:p w14:paraId="77560C3F" w14:textId="12F1A147"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-3,8</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r>
      <w:tr w:rsidR="00FB7BEC" w:rsidRPr="00FB7BEC" w14:paraId="1918853F" w14:textId="77777777" w:rsidTr="00FB7BEC">
        <w:trPr>
          <w:trHeight w:val="291"/>
        </w:trPr>
        <w:tc>
          <w:tcPr>
            <w:tcW w:w="2257" w:type="dxa"/>
            <w:vMerge/>
            <w:tcBorders>
              <w:top w:val="nil"/>
              <w:left w:val="single" w:sz="4" w:space="0" w:color="808080"/>
              <w:bottom w:val="single" w:sz="4" w:space="0" w:color="808080"/>
              <w:right w:val="single" w:sz="4" w:space="0" w:color="808080"/>
            </w:tcBorders>
            <w:vAlign w:val="center"/>
            <w:hideMark/>
          </w:tcPr>
          <w:p w14:paraId="7588302B" w14:textId="77777777" w:rsidR="00FB7BEC" w:rsidRPr="00FB7BEC" w:rsidRDefault="00FB7BEC" w:rsidP="00FB7BEC">
            <w:pPr>
              <w:spacing w:after="0" w:line="240" w:lineRule="auto"/>
              <w:rPr>
                <w:rFonts w:ascii="Verdana" w:eastAsia="Times New Roman" w:hAnsi="Verdana" w:cs="Calibri"/>
                <w:b/>
                <w:bCs/>
                <w:color w:val="000000"/>
                <w:sz w:val="22"/>
                <w:lang w:eastAsia="cs-CZ"/>
              </w:rPr>
            </w:pPr>
          </w:p>
        </w:tc>
        <w:tc>
          <w:tcPr>
            <w:tcW w:w="5383" w:type="dxa"/>
            <w:tcBorders>
              <w:top w:val="nil"/>
              <w:left w:val="nil"/>
              <w:bottom w:val="nil"/>
              <w:right w:val="single" w:sz="4" w:space="0" w:color="808080"/>
            </w:tcBorders>
            <w:shd w:val="clear" w:color="auto" w:fill="auto"/>
            <w:noWrap/>
            <w:vAlign w:val="bottom"/>
            <w:hideMark/>
          </w:tcPr>
          <w:p w14:paraId="04ACCBE0" w14:textId="77777777" w:rsidR="00FB7BEC" w:rsidRPr="00FB7BEC" w:rsidRDefault="00FB7BEC" w:rsidP="00FB7BEC">
            <w:pPr>
              <w:spacing w:after="0" w:line="240" w:lineRule="auto"/>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 xml:space="preserve">Energetické firmy (S&amp;P 500 </w:t>
            </w:r>
            <w:proofErr w:type="spellStart"/>
            <w:r w:rsidRPr="00FB7BEC">
              <w:rPr>
                <w:rFonts w:ascii="Verdana" w:eastAsia="Times New Roman" w:hAnsi="Verdana" w:cs="Calibri"/>
                <w:color w:val="000000"/>
                <w:sz w:val="22"/>
                <w:lang w:eastAsia="cs-CZ"/>
              </w:rPr>
              <w:t>Energy</w:t>
            </w:r>
            <w:proofErr w:type="spellEnd"/>
            <w:r w:rsidRPr="00FB7BEC">
              <w:rPr>
                <w:rFonts w:ascii="Verdana" w:eastAsia="Times New Roman" w:hAnsi="Verdana" w:cs="Calibri"/>
                <w:color w:val="000000"/>
                <w:sz w:val="22"/>
                <w:lang w:eastAsia="cs-CZ"/>
              </w:rPr>
              <w:t>)</w:t>
            </w:r>
          </w:p>
        </w:tc>
        <w:tc>
          <w:tcPr>
            <w:tcW w:w="1158" w:type="dxa"/>
            <w:tcBorders>
              <w:top w:val="nil"/>
              <w:left w:val="nil"/>
              <w:bottom w:val="nil"/>
              <w:right w:val="single" w:sz="4" w:space="0" w:color="808080"/>
            </w:tcBorders>
            <w:shd w:val="clear" w:color="auto" w:fill="auto"/>
            <w:noWrap/>
            <w:vAlign w:val="bottom"/>
            <w:hideMark/>
          </w:tcPr>
          <w:p w14:paraId="7415F35D" w14:textId="58410513"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4,9</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c>
          <w:tcPr>
            <w:tcW w:w="1642" w:type="dxa"/>
            <w:tcBorders>
              <w:top w:val="nil"/>
              <w:left w:val="nil"/>
              <w:bottom w:val="nil"/>
              <w:right w:val="single" w:sz="4" w:space="0" w:color="808080"/>
            </w:tcBorders>
            <w:shd w:val="clear" w:color="auto" w:fill="auto"/>
            <w:noWrap/>
            <w:vAlign w:val="bottom"/>
            <w:hideMark/>
          </w:tcPr>
          <w:p w14:paraId="09263053" w14:textId="5F1064A3"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-4,1</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r>
      <w:tr w:rsidR="00FB7BEC" w:rsidRPr="00FB7BEC" w14:paraId="1142AF06" w14:textId="77777777" w:rsidTr="00FB7BEC">
        <w:trPr>
          <w:trHeight w:val="291"/>
        </w:trPr>
        <w:tc>
          <w:tcPr>
            <w:tcW w:w="2257" w:type="dxa"/>
            <w:vMerge/>
            <w:tcBorders>
              <w:top w:val="nil"/>
              <w:left w:val="single" w:sz="4" w:space="0" w:color="808080"/>
              <w:bottom w:val="single" w:sz="4" w:space="0" w:color="808080"/>
              <w:right w:val="single" w:sz="4" w:space="0" w:color="808080"/>
            </w:tcBorders>
            <w:vAlign w:val="center"/>
            <w:hideMark/>
          </w:tcPr>
          <w:p w14:paraId="5CBC71FD" w14:textId="77777777" w:rsidR="00FB7BEC" w:rsidRPr="00FB7BEC" w:rsidRDefault="00FB7BEC" w:rsidP="00FB7BEC">
            <w:pPr>
              <w:spacing w:after="0" w:line="240" w:lineRule="auto"/>
              <w:rPr>
                <w:rFonts w:ascii="Verdana" w:eastAsia="Times New Roman" w:hAnsi="Verdana" w:cs="Calibri"/>
                <w:b/>
                <w:bCs/>
                <w:color w:val="000000"/>
                <w:sz w:val="22"/>
                <w:lang w:eastAsia="cs-CZ"/>
              </w:rPr>
            </w:pPr>
          </w:p>
        </w:tc>
        <w:tc>
          <w:tcPr>
            <w:tcW w:w="5383" w:type="dxa"/>
            <w:tcBorders>
              <w:top w:val="nil"/>
              <w:left w:val="nil"/>
              <w:bottom w:val="nil"/>
              <w:right w:val="single" w:sz="4" w:space="0" w:color="808080"/>
            </w:tcBorders>
            <w:shd w:val="clear" w:color="auto" w:fill="auto"/>
            <w:noWrap/>
            <w:vAlign w:val="bottom"/>
            <w:hideMark/>
          </w:tcPr>
          <w:p w14:paraId="446DE847" w14:textId="77777777" w:rsidR="00FB7BEC" w:rsidRPr="00FB7BEC" w:rsidRDefault="00FB7BEC" w:rsidP="00FB7BEC">
            <w:pPr>
              <w:spacing w:after="0" w:line="240" w:lineRule="auto"/>
              <w:rPr>
                <w:rFonts w:ascii="Verdana" w:eastAsia="Times New Roman" w:hAnsi="Verdana" w:cs="Calibri"/>
                <w:color w:val="000000"/>
                <w:sz w:val="22"/>
                <w:lang w:eastAsia="cs-CZ"/>
              </w:rPr>
            </w:pPr>
            <w:proofErr w:type="spellStart"/>
            <w:r w:rsidRPr="00FB7BEC">
              <w:rPr>
                <w:rFonts w:ascii="Verdana" w:eastAsia="Times New Roman" w:hAnsi="Verdana" w:cs="Calibri"/>
                <w:color w:val="000000"/>
                <w:sz w:val="22"/>
                <w:lang w:eastAsia="cs-CZ"/>
              </w:rPr>
              <w:t>Producentni</w:t>
            </w:r>
            <w:proofErr w:type="spellEnd"/>
            <w:r w:rsidRPr="00FB7BEC">
              <w:rPr>
                <w:rFonts w:ascii="Verdana" w:eastAsia="Times New Roman" w:hAnsi="Verdana" w:cs="Calibri"/>
                <w:color w:val="000000"/>
                <w:sz w:val="22"/>
                <w:lang w:eastAsia="cs-CZ"/>
              </w:rPr>
              <w:t xml:space="preserve"> energií z obnovitelných zdrojů</w:t>
            </w:r>
          </w:p>
        </w:tc>
        <w:tc>
          <w:tcPr>
            <w:tcW w:w="1158" w:type="dxa"/>
            <w:tcBorders>
              <w:top w:val="nil"/>
              <w:left w:val="nil"/>
              <w:bottom w:val="nil"/>
              <w:right w:val="single" w:sz="4" w:space="0" w:color="808080"/>
            </w:tcBorders>
            <w:shd w:val="clear" w:color="auto" w:fill="auto"/>
            <w:noWrap/>
            <w:vAlign w:val="bottom"/>
            <w:hideMark/>
          </w:tcPr>
          <w:p w14:paraId="4774BED0" w14:textId="516C9DAA"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-8,6</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c>
          <w:tcPr>
            <w:tcW w:w="1642" w:type="dxa"/>
            <w:tcBorders>
              <w:top w:val="nil"/>
              <w:left w:val="nil"/>
              <w:bottom w:val="nil"/>
              <w:right w:val="single" w:sz="4" w:space="0" w:color="808080"/>
            </w:tcBorders>
            <w:shd w:val="clear" w:color="auto" w:fill="auto"/>
            <w:noWrap/>
            <w:vAlign w:val="bottom"/>
            <w:hideMark/>
          </w:tcPr>
          <w:p w14:paraId="64C9154A" w14:textId="26F6A478"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7,9</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r>
      <w:tr w:rsidR="00FB7BEC" w:rsidRPr="00FB7BEC" w14:paraId="53EEE9D7" w14:textId="77777777" w:rsidTr="00FB7BEC">
        <w:trPr>
          <w:trHeight w:val="291"/>
        </w:trPr>
        <w:tc>
          <w:tcPr>
            <w:tcW w:w="2257" w:type="dxa"/>
            <w:tcBorders>
              <w:top w:val="nil"/>
              <w:left w:val="single" w:sz="4" w:space="0" w:color="808080"/>
              <w:bottom w:val="single" w:sz="4" w:space="0" w:color="808080"/>
              <w:right w:val="single" w:sz="4" w:space="0" w:color="808080"/>
            </w:tcBorders>
            <w:shd w:val="clear" w:color="auto" w:fill="auto"/>
            <w:noWrap/>
            <w:vAlign w:val="bottom"/>
            <w:hideMark/>
          </w:tcPr>
          <w:p w14:paraId="46412550" w14:textId="77777777" w:rsidR="00FB7BEC" w:rsidRPr="00FB7BEC" w:rsidRDefault="00FB7BEC" w:rsidP="00FB7BEC">
            <w:pPr>
              <w:spacing w:after="0" w:line="240" w:lineRule="auto"/>
              <w:jc w:val="center"/>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Měny</w:t>
            </w:r>
          </w:p>
        </w:tc>
        <w:tc>
          <w:tcPr>
            <w:tcW w:w="5383" w:type="dxa"/>
            <w:tcBorders>
              <w:top w:val="single" w:sz="4" w:space="0" w:color="808080"/>
              <w:left w:val="nil"/>
              <w:bottom w:val="single" w:sz="4" w:space="0" w:color="808080"/>
              <w:right w:val="single" w:sz="4" w:space="0" w:color="808080"/>
            </w:tcBorders>
            <w:shd w:val="clear" w:color="auto" w:fill="auto"/>
            <w:noWrap/>
            <w:vAlign w:val="bottom"/>
            <w:hideMark/>
          </w:tcPr>
          <w:p w14:paraId="4C414760" w14:textId="77777777" w:rsidR="00FB7BEC" w:rsidRPr="00FB7BEC" w:rsidRDefault="00FB7BEC" w:rsidP="00FB7BEC">
            <w:pPr>
              <w:spacing w:after="0" w:line="240" w:lineRule="auto"/>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EUR/USD</w:t>
            </w:r>
          </w:p>
        </w:tc>
        <w:tc>
          <w:tcPr>
            <w:tcW w:w="1158" w:type="dxa"/>
            <w:tcBorders>
              <w:top w:val="single" w:sz="4" w:space="0" w:color="808080"/>
              <w:left w:val="nil"/>
              <w:bottom w:val="single" w:sz="4" w:space="0" w:color="808080"/>
              <w:right w:val="single" w:sz="4" w:space="0" w:color="808080"/>
            </w:tcBorders>
            <w:shd w:val="clear" w:color="auto" w:fill="auto"/>
            <w:noWrap/>
            <w:vAlign w:val="bottom"/>
            <w:hideMark/>
          </w:tcPr>
          <w:p w14:paraId="7F5C1B7E" w14:textId="2157D876" w:rsidR="00FB7BEC" w:rsidRPr="00FB7BEC" w:rsidRDefault="006F35C7" w:rsidP="00FB7BEC">
            <w:pPr>
              <w:spacing w:after="0" w:line="240" w:lineRule="auto"/>
              <w:jc w:val="right"/>
              <w:rPr>
                <w:rFonts w:ascii="Verdana" w:eastAsia="Times New Roman" w:hAnsi="Verdana" w:cs="Calibri"/>
                <w:color w:val="000000"/>
                <w:sz w:val="22"/>
                <w:lang w:eastAsia="cs-CZ"/>
              </w:rPr>
            </w:pPr>
            <w:r>
              <w:rPr>
                <w:rFonts w:ascii="Verdana" w:eastAsia="Times New Roman" w:hAnsi="Verdana" w:cs="Calibri"/>
                <w:color w:val="000000"/>
                <w:sz w:val="22"/>
                <w:lang w:eastAsia="cs-CZ"/>
              </w:rPr>
              <w:t xml:space="preserve">- </w:t>
            </w:r>
            <w:r w:rsidR="00FB7BEC" w:rsidRPr="00FB7BEC">
              <w:rPr>
                <w:rFonts w:ascii="Verdana" w:eastAsia="Times New Roman" w:hAnsi="Verdana" w:cs="Calibri"/>
                <w:color w:val="000000"/>
                <w:sz w:val="22"/>
                <w:lang w:eastAsia="cs-CZ"/>
              </w:rPr>
              <w:t>3,5</w:t>
            </w:r>
            <w:r w:rsidR="00E56E92">
              <w:rPr>
                <w:rFonts w:ascii="Verdana" w:eastAsia="Times New Roman" w:hAnsi="Verdana" w:cs="Calibri"/>
                <w:color w:val="000000"/>
                <w:sz w:val="22"/>
                <w:lang w:eastAsia="cs-CZ"/>
              </w:rPr>
              <w:t xml:space="preserve"> </w:t>
            </w:r>
            <w:r w:rsidR="00FB7BEC" w:rsidRPr="00FB7BEC">
              <w:rPr>
                <w:rFonts w:ascii="Verdana" w:eastAsia="Times New Roman" w:hAnsi="Verdana" w:cs="Calibri"/>
                <w:color w:val="000000"/>
                <w:sz w:val="22"/>
                <w:lang w:eastAsia="cs-CZ"/>
              </w:rPr>
              <w:t>%</w:t>
            </w:r>
          </w:p>
        </w:tc>
        <w:tc>
          <w:tcPr>
            <w:tcW w:w="1642" w:type="dxa"/>
            <w:tcBorders>
              <w:top w:val="single" w:sz="4" w:space="0" w:color="808080"/>
              <w:left w:val="nil"/>
              <w:bottom w:val="single" w:sz="4" w:space="0" w:color="808080"/>
              <w:right w:val="single" w:sz="4" w:space="0" w:color="808080"/>
            </w:tcBorders>
            <w:shd w:val="clear" w:color="auto" w:fill="auto"/>
            <w:noWrap/>
            <w:vAlign w:val="bottom"/>
            <w:hideMark/>
          </w:tcPr>
          <w:p w14:paraId="0B97A704" w14:textId="213A763B"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2,6</w:t>
            </w:r>
            <w:r w:rsidR="00E56E92">
              <w:rPr>
                <w:rFonts w:ascii="Verdana" w:eastAsia="Times New Roman" w:hAnsi="Verdana" w:cs="Calibri"/>
                <w:color w:val="000000"/>
                <w:sz w:val="22"/>
                <w:lang w:eastAsia="cs-CZ"/>
              </w:rPr>
              <w:t xml:space="preserve"> </w:t>
            </w:r>
            <w:r w:rsidRPr="00FB7BEC">
              <w:rPr>
                <w:rFonts w:ascii="Verdana" w:eastAsia="Times New Roman" w:hAnsi="Verdana" w:cs="Calibri"/>
                <w:color w:val="000000"/>
                <w:sz w:val="22"/>
                <w:lang w:eastAsia="cs-CZ"/>
              </w:rPr>
              <w:t>%</w:t>
            </w:r>
          </w:p>
        </w:tc>
      </w:tr>
      <w:tr w:rsidR="00FB7BEC" w:rsidRPr="00FB7BEC" w14:paraId="565521EE" w14:textId="77777777" w:rsidTr="00FB7BEC">
        <w:trPr>
          <w:trHeight w:val="291"/>
        </w:trPr>
        <w:tc>
          <w:tcPr>
            <w:tcW w:w="2257" w:type="dxa"/>
            <w:tcBorders>
              <w:top w:val="nil"/>
              <w:left w:val="single" w:sz="4" w:space="0" w:color="808080"/>
              <w:bottom w:val="single" w:sz="4" w:space="0" w:color="808080"/>
              <w:right w:val="single" w:sz="4" w:space="0" w:color="808080"/>
            </w:tcBorders>
            <w:shd w:val="clear" w:color="auto" w:fill="auto"/>
            <w:noWrap/>
            <w:vAlign w:val="bottom"/>
            <w:hideMark/>
          </w:tcPr>
          <w:p w14:paraId="0F8DCF73" w14:textId="77777777" w:rsidR="00FB7BEC" w:rsidRPr="00FB7BEC" w:rsidRDefault="00FB7BEC" w:rsidP="00FB7BEC">
            <w:pPr>
              <w:spacing w:after="0" w:line="240" w:lineRule="auto"/>
              <w:jc w:val="center"/>
              <w:rPr>
                <w:rFonts w:ascii="Verdana" w:eastAsia="Times New Roman" w:hAnsi="Verdana" w:cs="Calibri"/>
                <w:b/>
                <w:bCs/>
                <w:color w:val="000000"/>
                <w:sz w:val="22"/>
                <w:lang w:eastAsia="cs-CZ"/>
              </w:rPr>
            </w:pPr>
            <w:r w:rsidRPr="00FB7BEC">
              <w:rPr>
                <w:rFonts w:ascii="Verdana" w:eastAsia="Times New Roman" w:hAnsi="Verdana" w:cs="Calibri"/>
                <w:b/>
                <w:bCs/>
                <w:color w:val="000000"/>
                <w:sz w:val="22"/>
                <w:lang w:eastAsia="cs-CZ"/>
              </w:rPr>
              <w:t>Dluhopisy</w:t>
            </w:r>
          </w:p>
        </w:tc>
        <w:tc>
          <w:tcPr>
            <w:tcW w:w="5383" w:type="dxa"/>
            <w:tcBorders>
              <w:top w:val="nil"/>
              <w:left w:val="nil"/>
              <w:bottom w:val="single" w:sz="4" w:space="0" w:color="808080"/>
              <w:right w:val="single" w:sz="4" w:space="0" w:color="808080"/>
            </w:tcBorders>
            <w:shd w:val="clear" w:color="auto" w:fill="auto"/>
            <w:noWrap/>
            <w:vAlign w:val="bottom"/>
            <w:hideMark/>
          </w:tcPr>
          <w:p w14:paraId="4E5C294C" w14:textId="77777777" w:rsidR="00FB7BEC" w:rsidRPr="00FB7BEC" w:rsidRDefault="00FB7BEC" w:rsidP="00FB7BEC">
            <w:pPr>
              <w:spacing w:after="0" w:line="240" w:lineRule="auto"/>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10Y UST</w:t>
            </w:r>
          </w:p>
        </w:tc>
        <w:tc>
          <w:tcPr>
            <w:tcW w:w="1158" w:type="dxa"/>
            <w:tcBorders>
              <w:top w:val="nil"/>
              <w:left w:val="nil"/>
              <w:bottom w:val="single" w:sz="4" w:space="0" w:color="808080"/>
              <w:right w:val="single" w:sz="4" w:space="0" w:color="808080"/>
            </w:tcBorders>
            <w:shd w:val="clear" w:color="auto" w:fill="auto"/>
            <w:noWrap/>
            <w:vAlign w:val="bottom"/>
            <w:hideMark/>
          </w:tcPr>
          <w:p w14:paraId="40A91D21" w14:textId="77777777"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 xml:space="preserve">29 </w:t>
            </w:r>
            <w:proofErr w:type="spellStart"/>
            <w:r w:rsidRPr="00FB7BEC">
              <w:rPr>
                <w:rFonts w:ascii="Verdana" w:eastAsia="Times New Roman" w:hAnsi="Verdana" w:cs="Calibri"/>
                <w:color w:val="000000"/>
                <w:sz w:val="22"/>
                <w:lang w:eastAsia="cs-CZ"/>
              </w:rPr>
              <w:t>bps</w:t>
            </w:r>
            <w:proofErr w:type="spellEnd"/>
          </w:p>
        </w:tc>
        <w:tc>
          <w:tcPr>
            <w:tcW w:w="1642" w:type="dxa"/>
            <w:tcBorders>
              <w:top w:val="nil"/>
              <w:left w:val="nil"/>
              <w:bottom w:val="single" w:sz="4" w:space="0" w:color="808080"/>
              <w:right w:val="single" w:sz="4" w:space="0" w:color="808080"/>
            </w:tcBorders>
            <w:shd w:val="clear" w:color="auto" w:fill="auto"/>
            <w:noWrap/>
            <w:vAlign w:val="bottom"/>
            <w:hideMark/>
          </w:tcPr>
          <w:p w14:paraId="32CF50A2" w14:textId="77777777" w:rsidR="00FB7BEC" w:rsidRPr="00FB7BEC" w:rsidRDefault="00FB7BEC" w:rsidP="00FB7BEC">
            <w:pPr>
              <w:spacing w:after="0" w:line="240" w:lineRule="auto"/>
              <w:jc w:val="right"/>
              <w:rPr>
                <w:rFonts w:ascii="Verdana" w:eastAsia="Times New Roman" w:hAnsi="Verdana" w:cs="Calibri"/>
                <w:color w:val="000000"/>
                <w:sz w:val="22"/>
                <w:lang w:eastAsia="cs-CZ"/>
              </w:rPr>
            </w:pPr>
            <w:r w:rsidRPr="00FB7BEC">
              <w:rPr>
                <w:rFonts w:ascii="Verdana" w:eastAsia="Times New Roman" w:hAnsi="Verdana" w:cs="Calibri"/>
                <w:color w:val="000000"/>
                <w:sz w:val="22"/>
                <w:lang w:eastAsia="cs-CZ"/>
              </w:rPr>
              <w:t>-11bps</w:t>
            </w:r>
          </w:p>
        </w:tc>
      </w:tr>
    </w:tbl>
    <w:p w14:paraId="2A65F439" w14:textId="07274008" w:rsidR="009856FF" w:rsidRPr="009856FF" w:rsidRDefault="009856FF" w:rsidP="009856FF">
      <w:pPr>
        <w:spacing w:line="360" w:lineRule="auto"/>
        <w:jc w:val="both"/>
        <w:rPr>
          <w:rFonts w:ascii="Verdana" w:hAnsi="Verdana"/>
          <w:sz w:val="20"/>
          <w:szCs w:val="16"/>
          <w:lang w:eastAsia="cs-CZ"/>
        </w:rPr>
      </w:pPr>
    </w:p>
    <w:p w14:paraId="2457051A" w14:textId="3464D96A" w:rsidR="009856FF" w:rsidRPr="009856FF" w:rsidRDefault="009856FF" w:rsidP="009856FF">
      <w:pPr>
        <w:spacing w:line="360" w:lineRule="auto"/>
        <w:jc w:val="both"/>
        <w:rPr>
          <w:rFonts w:ascii="Verdana" w:hAnsi="Verdana"/>
          <w:sz w:val="20"/>
          <w:szCs w:val="16"/>
          <w:lang w:eastAsia="cs-CZ"/>
        </w:rPr>
      </w:pPr>
      <w:r w:rsidRPr="009856FF">
        <w:rPr>
          <w:rFonts w:ascii="Verdana" w:hAnsi="Verdana"/>
          <w:sz w:val="20"/>
          <w:szCs w:val="16"/>
          <w:lang w:eastAsia="cs-CZ"/>
        </w:rPr>
        <w:t>Události na finančních trzích se do cen aktiv již dopředu „</w:t>
      </w:r>
      <w:proofErr w:type="spellStart"/>
      <w:r w:rsidRPr="009856FF">
        <w:rPr>
          <w:rFonts w:ascii="Verdana" w:hAnsi="Verdana"/>
          <w:sz w:val="20"/>
          <w:szCs w:val="16"/>
          <w:lang w:eastAsia="cs-CZ"/>
        </w:rPr>
        <w:t>zaceňují</w:t>
      </w:r>
      <w:proofErr w:type="spellEnd"/>
      <w:r w:rsidRPr="009856FF">
        <w:rPr>
          <w:rFonts w:ascii="Verdana" w:hAnsi="Verdana"/>
          <w:sz w:val="20"/>
          <w:szCs w:val="16"/>
          <w:lang w:eastAsia="cs-CZ"/>
        </w:rPr>
        <w:t xml:space="preserve">“, což znamená, že například v případě vítězství Donalda Trumpa ceny akcií brzy zohlední daňovou reformu (dříve než reálně dojde ke schválení konkrétních kroků). </w:t>
      </w:r>
    </w:p>
    <w:p w14:paraId="59146D4F" w14:textId="396B7A7B" w:rsidR="009E4E88" w:rsidRDefault="009856FF" w:rsidP="009856FF">
      <w:pPr>
        <w:spacing w:line="360" w:lineRule="auto"/>
        <w:jc w:val="both"/>
        <w:rPr>
          <w:rFonts w:ascii="Verdana" w:hAnsi="Verdana"/>
          <w:sz w:val="20"/>
          <w:szCs w:val="16"/>
          <w:lang w:eastAsia="cs-CZ"/>
        </w:rPr>
        <w:sectPr w:rsidR="009E4E88" w:rsidSect="00FB571B">
          <w:headerReference w:type="default" r:id="rId8"/>
          <w:footerReference w:type="default" r:id="rId9"/>
          <w:type w:val="continuous"/>
          <w:pgSz w:w="11906" w:h="16838"/>
          <w:pgMar w:top="720" w:right="720" w:bottom="1701" w:left="720" w:header="567" w:footer="169" w:gutter="0"/>
          <w:cols w:space="708"/>
          <w:docGrid w:linePitch="360"/>
        </w:sectPr>
      </w:pPr>
      <w:r w:rsidRPr="009856FF">
        <w:rPr>
          <w:rFonts w:ascii="Verdana" w:hAnsi="Verdana"/>
          <w:sz w:val="20"/>
          <w:szCs w:val="16"/>
          <w:lang w:eastAsia="cs-CZ"/>
        </w:rPr>
        <w:t>Pro zjednodušení vycházíme v naší analýze z předpokladu, že se oběma kandidátům podaří zvítězit i v Kongresu (</w:t>
      </w:r>
      <w:proofErr w:type="spellStart"/>
      <w:r w:rsidRPr="009856FF">
        <w:rPr>
          <w:rFonts w:ascii="Verdana" w:hAnsi="Verdana"/>
          <w:sz w:val="20"/>
          <w:szCs w:val="16"/>
          <w:lang w:eastAsia="cs-CZ"/>
        </w:rPr>
        <w:t>Democratic</w:t>
      </w:r>
      <w:proofErr w:type="spellEnd"/>
      <w:r w:rsidRPr="009856FF">
        <w:rPr>
          <w:rFonts w:ascii="Verdana" w:hAnsi="Verdana"/>
          <w:sz w:val="20"/>
          <w:szCs w:val="16"/>
          <w:lang w:eastAsia="cs-CZ"/>
        </w:rPr>
        <w:t xml:space="preserve"> nebo </w:t>
      </w:r>
      <w:proofErr w:type="spellStart"/>
      <w:r w:rsidRPr="009856FF">
        <w:rPr>
          <w:rFonts w:ascii="Verdana" w:hAnsi="Verdana"/>
          <w:sz w:val="20"/>
          <w:szCs w:val="16"/>
          <w:lang w:eastAsia="cs-CZ"/>
        </w:rPr>
        <w:t>Republican</w:t>
      </w:r>
      <w:proofErr w:type="spellEnd"/>
      <w:r w:rsidRPr="009856FF">
        <w:rPr>
          <w:rFonts w:ascii="Verdana" w:hAnsi="Verdana"/>
          <w:sz w:val="20"/>
          <w:szCs w:val="16"/>
          <w:lang w:eastAsia="cs-CZ"/>
        </w:rPr>
        <w:t xml:space="preserve"> </w:t>
      </w:r>
      <w:proofErr w:type="spellStart"/>
      <w:r w:rsidRPr="009856FF">
        <w:rPr>
          <w:rFonts w:ascii="Verdana" w:hAnsi="Verdana"/>
          <w:sz w:val="20"/>
          <w:szCs w:val="16"/>
          <w:lang w:eastAsia="cs-CZ"/>
        </w:rPr>
        <w:t>Sweep</w:t>
      </w:r>
      <w:proofErr w:type="spellEnd"/>
      <w:r w:rsidRPr="009856FF">
        <w:rPr>
          <w:rFonts w:ascii="Verdana" w:hAnsi="Verdana"/>
          <w:sz w:val="20"/>
          <w:szCs w:val="16"/>
          <w:lang w:eastAsia="cs-CZ"/>
        </w:rPr>
        <w:t>) a budou tak mít jednodušší cestu k prosazení avizovaného programu.</w:t>
      </w:r>
    </w:p>
    <w:p w14:paraId="38CAD464" w14:textId="77777777" w:rsidR="00D64538" w:rsidRPr="009C5A9F" w:rsidRDefault="00D64538" w:rsidP="00D64538">
      <w:pPr>
        <w:spacing w:line="360" w:lineRule="auto"/>
        <w:jc w:val="both"/>
        <w:rPr>
          <w:rFonts w:ascii="Verdana" w:hAnsi="Verdana"/>
          <w:b/>
          <w:sz w:val="16"/>
          <w:szCs w:val="16"/>
          <w:lang w:eastAsia="cs-CZ"/>
        </w:rPr>
      </w:pPr>
      <w:r w:rsidRPr="009C5A9F">
        <w:rPr>
          <w:rFonts w:ascii="Verdana" w:hAnsi="Verdana"/>
          <w:b/>
          <w:sz w:val="16"/>
          <w:szCs w:val="16"/>
          <w:lang w:eastAsia="cs-CZ"/>
        </w:rPr>
        <w:lastRenderedPageBreak/>
        <w:t>Upozornění</w:t>
      </w:r>
    </w:p>
    <w:p w14:paraId="6B5E27B7" w14:textId="708AA3F0" w:rsidR="00213745" w:rsidRPr="009C5A9F" w:rsidRDefault="00D64538" w:rsidP="00213745">
      <w:pPr>
        <w:spacing w:line="360" w:lineRule="auto"/>
        <w:jc w:val="both"/>
        <w:rPr>
          <w:rFonts w:ascii="Verdana" w:hAnsi="Verdana"/>
          <w:sz w:val="16"/>
          <w:szCs w:val="16"/>
          <w:lang w:eastAsia="cs-CZ"/>
        </w:rPr>
      </w:pPr>
      <w:r w:rsidRPr="009C5A9F">
        <w:rPr>
          <w:rFonts w:ascii="Verdana" w:hAnsi="Verdana"/>
          <w:sz w:val="16"/>
          <w:szCs w:val="16"/>
          <w:lang w:eastAsia="cs-CZ"/>
        </w:rPr>
        <w:t>Dokument byl zpracován společností CYRRUS, a.s., obchodníkem s cennými papíry, se</w:t>
      </w:r>
      <w:r w:rsidR="00E56E92">
        <w:rPr>
          <w:rFonts w:ascii="Verdana" w:hAnsi="Verdana"/>
          <w:sz w:val="16"/>
          <w:szCs w:val="16"/>
          <w:lang w:eastAsia="cs-CZ"/>
        </w:rPr>
        <w:t xml:space="preserve"> s</w:t>
      </w:r>
      <w:r w:rsidRPr="009C5A9F">
        <w:rPr>
          <w:rFonts w:ascii="Verdana" w:hAnsi="Verdana"/>
          <w:sz w:val="16"/>
          <w:szCs w:val="16"/>
          <w:lang w:eastAsia="cs-CZ"/>
        </w:rPr>
        <w:t>ídlem Brno, Veveří 111 (dále</w:t>
      </w:r>
      <w:r w:rsidR="00E56E92">
        <w:rPr>
          <w:rFonts w:ascii="Verdana" w:hAnsi="Verdana"/>
          <w:sz w:val="16"/>
          <w:szCs w:val="16"/>
          <w:lang w:eastAsia="cs-CZ"/>
        </w:rPr>
        <w:t xml:space="preserve"> </w:t>
      </w:r>
      <w:r w:rsidRPr="009C5A9F">
        <w:rPr>
          <w:rFonts w:ascii="Verdana" w:hAnsi="Verdana"/>
          <w:sz w:val="16"/>
          <w:szCs w:val="16"/>
          <w:lang w:eastAsia="cs-CZ"/>
        </w:rPr>
        <w:t>jen „společnost“). Společnost je členem Burzy</w:t>
      </w:r>
      <w:r w:rsidR="00E56E92">
        <w:rPr>
          <w:rFonts w:ascii="Verdana" w:hAnsi="Verdana"/>
          <w:sz w:val="16"/>
          <w:szCs w:val="16"/>
          <w:lang w:eastAsia="cs-CZ"/>
        </w:rPr>
        <w:t xml:space="preserve"> </w:t>
      </w:r>
      <w:r w:rsidRPr="009C5A9F">
        <w:rPr>
          <w:rFonts w:ascii="Verdana" w:hAnsi="Verdana"/>
          <w:sz w:val="16"/>
          <w:szCs w:val="16"/>
          <w:lang w:eastAsia="cs-CZ"/>
        </w:rPr>
        <w:t xml:space="preserve">cenných papírů Praha, a.s. a Frankfurt </w:t>
      </w:r>
      <w:proofErr w:type="spellStart"/>
      <w:r w:rsidRPr="009C5A9F">
        <w:rPr>
          <w:rFonts w:ascii="Verdana" w:hAnsi="Verdana"/>
          <w:sz w:val="16"/>
          <w:szCs w:val="16"/>
          <w:lang w:eastAsia="cs-CZ"/>
        </w:rPr>
        <w:t>Stock</w:t>
      </w:r>
      <w:proofErr w:type="spellEnd"/>
      <w:r w:rsidR="00E56E92">
        <w:rPr>
          <w:rFonts w:ascii="Verdana" w:hAnsi="Verdana"/>
          <w:sz w:val="16"/>
          <w:szCs w:val="16"/>
          <w:lang w:eastAsia="cs-CZ"/>
        </w:rPr>
        <w:t xml:space="preserve"> </w:t>
      </w:r>
      <w:r w:rsidRPr="009C5A9F">
        <w:rPr>
          <w:rFonts w:ascii="Verdana" w:hAnsi="Verdana"/>
          <w:sz w:val="16"/>
          <w:szCs w:val="16"/>
          <w:lang w:eastAsia="cs-CZ"/>
        </w:rPr>
        <w:t>Exchange</w:t>
      </w:r>
      <w:r w:rsidR="00E56E92">
        <w:rPr>
          <w:rFonts w:ascii="Verdana" w:hAnsi="Verdana"/>
          <w:sz w:val="16"/>
          <w:szCs w:val="16"/>
          <w:lang w:eastAsia="cs-CZ"/>
        </w:rPr>
        <w:t xml:space="preserve"> </w:t>
      </w:r>
      <w:r w:rsidRPr="009C5A9F">
        <w:rPr>
          <w:rFonts w:ascii="Verdana" w:hAnsi="Verdana"/>
          <w:sz w:val="16"/>
          <w:szCs w:val="16"/>
          <w:lang w:eastAsia="cs-CZ"/>
        </w:rPr>
        <w:t>(FWB)</w:t>
      </w:r>
      <w:r w:rsidR="00E56E92">
        <w:rPr>
          <w:rFonts w:ascii="Verdana" w:hAnsi="Verdana"/>
          <w:sz w:val="16"/>
          <w:szCs w:val="16"/>
          <w:lang w:eastAsia="cs-CZ"/>
        </w:rPr>
        <w:t xml:space="preserve"> </w:t>
      </w:r>
      <w:r w:rsidRPr="009C5A9F">
        <w:rPr>
          <w:rFonts w:ascii="Verdana" w:hAnsi="Verdana"/>
          <w:sz w:val="16"/>
          <w:szCs w:val="16"/>
          <w:lang w:eastAsia="cs-CZ"/>
        </w:rPr>
        <w:t>–</w:t>
      </w:r>
      <w:r w:rsidR="00E56E92">
        <w:rPr>
          <w:rFonts w:ascii="Verdana" w:hAnsi="Verdana"/>
          <w:sz w:val="16"/>
          <w:szCs w:val="16"/>
          <w:lang w:eastAsia="cs-CZ"/>
        </w:rPr>
        <w:t xml:space="preserve"> </w:t>
      </w:r>
      <w:proofErr w:type="spellStart"/>
      <w:r w:rsidRPr="009C5A9F">
        <w:rPr>
          <w:rFonts w:ascii="Verdana" w:hAnsi="Verdana"/>
          <w:sz w:val="16"/>
          <w:szCs w:val="16"/>
          <w:lang w:eastAsia="cs-CZ"/>
        </w:rPr>
        <w:t>Deutsche</w:t>
      </w:r>
      <w:proofErr w:type="spellEnd"/>
      <w:r w:rsidR="00E56E92">
        <w:rPr>
          <w:rFonts w:ascii="Verdana" w:hAnsi="Verdana"/>
          <w:sz w:val="16"/>
          <w:szCs w:val="16"/>
          <w:lang w:eastAsia="cs-CZ"/>
        </w:rPr>
        <w:t xml:space="preserve"> </w:t>
      </w:r>
      <w:proofErr w:type="spellStart"/>
      <w:r w:rsidRPr="009C5A9F">
        <w:rPr>
          <w:rFonts w:ascii="Verdana" w:hAnsi="Verdana"/>
          <w:sz w:val="16"/>
          <w:szCs w:val="16"/>
          <w:lang w:eastAsia="cs-CZ"/>
        </w:rPr>
        <w:t>Börse</w:t>
      </w:r>
      <w:proofErr w:type="spellEnd"/>
      <w:r w:rsidRPr="009C5A9F">
        <w:rPr>
          <w:rFonts w:ascii="Verdana" w:hAnsi="Verdana"/>
          <w:sz w:val="16"/>
          <w:szCs w:val="16"/>
          <w:lang w:eastAsia="cs-CZ"/>
        </w:rPr>
        <w:t>.</w:t>
      </w:r>
      <w:r w:rsidR="00E56E92">
        <w:rPr>
          <w:rFonts w:ascii="Verdana" w:hAnsi="Verdana"/>
          <w:sz w:val="16"/>
          <w:szCs w:val="16"/>
          <w:lang w:eastAsia="cs-CZ"/>
        </w:rPr>
        <w:t xml:space="preserve"> </w:t>
      </w:r>
      <w:r w:rsidRPr="009C5A9F">
        <w:rPr>
          <w:rFonts w:ascii="Verdana" w:hAnsi="Verdana"/>
          <w:sz w:val="16"/>
          <w:szCs w:val="16"/>
          <w:lang w:eastAsia="cs-CZ"/>
        </w:rPr>
        <w:t xml:space="preserve"> Společnost</w:t>
      </w:r>
      <w:r w:rsidR="00E56E92">
        <w:rPr>
          <w:rFonts w:ascii="Verdana" w:hAnsi="Verdana"/>
          <w:sz w:val="16"/>
          <w:szCs w:val="16"/>
          <w:lang w:eastAsia="cs-CZ"/>
        </w:rPr>
        <w:t xml:space="preserve"> </w:t>
      </w:r>
      <w:r w:rsidRPr="009C5A9F">
        <w:rPr>
          <w:rFonts w:ascii="Verdana" w:hAnsi="Verdana"/>
          <w:sz w:val="16"/>
          <w:szCs w:val="16"/>
          <w:lang w:eastAsia="cs-CZ"/>
        </w:rPr>
        <w:t>podléhá regulaci a dohledu České národní banky. Dokument je</w:t>
      </w:r>
      <w:r w:rsidR="00E56E92">
        <w:rPr>
          <w:rFonts w:ascii="Verdana" w:hAnsi="Verdana"/>
          <w:sz w:val="16"/>
          <w:szCs w:val="16"/>
          <w:lang w:eastAsia="cs-CZ"/>
        </w:rPr>
        <w:t xml:space="preserve"> </w:t>
      </w:r>
      <w:r w:rsidRPr="009C5A9F">
        <w:rPr>
          <w:rFonts w:ascii="Verdana" w:hAnsi="Verdana"/>
          <w:sz w:val="16"/>
          <w:szCs w:val="16"/>
          <w:lang w:eastAsia="cs-CZ"/>
        </w:rPr>
        <w:t>určen</w:t>
      </w:r>
      <w:r w:rsidR="00E56E92">
        <w:rPr>
          <w:rFonts w:ascii="Verdana" w:hAnsi="Verdana"/>
          <w:sz w:val="16"/>
          <w:szCs w:val="16"/>
          <w:lang w:eastAsia="cs-CZ"/>
        </w:rPr>
        <w:t xml:space="preserve"> </w:t>
      </w:r>
      <w:r w:rsidRPr="009C5A9F">
        <w:rPr>
          <w:rFonts w:ascii="Verdana" w:hAnsi="Verdana"/>
          <w:sz w:val="16"/>
          <w:szCs w:val="16"/>
          <w:lang w:eastAsia="cs-CZ"/>
        </w:rPr>
        <w:t>pouze</w:t>
      </w:r>
      <w:r w:rsidR="00E56E92">
        <w:rPr>
          <w:rFonts w:ascii="Verdana" w:hAnsi="Verdana"/>
          <w:sz w:val="16"/>
          <w:szCs w:val="16"/>
          <w:lang w:eastAsia="cs-CZ"/>
        </w:rPr>
        <w:t xml:space="preserve"> </w:t>
      </w:r>
      <w:r w:rsidRPr="009C5A9F">
        <w:rPr>
          <w:rFonts w:ascii="Verdana" w:hAnsi="Verdana"/>
          <w:sz w:val="16"/>
          <w:szCs w:val="16"/>
          <w:lang w:eastAsia="cs-CZ"/>
        </w:rPr>
        <w:t>pro</w:t>
      </w:r>
      <w:r w:rsidR="00E56E92">
        <w:rPr>
          <w:rFonts w:ascii="Verdana" w:hAnsi="Verdana"/>
          <w:sz w:val="16"/>
          <w:szCs w:val="16"/>
          <w:lang w:eastAsia="cs-CZ"/>
        </w:rPr>
        <w:t xml:space="preserve"> </w:t>
      </w:r>
      <w:r w:rsidRPr="009C5A9F">
        <w:rPr>
          <w:rFonts w:ascii="Verdana" w:hAnsi="Verdana"/>
          <w:sz w:val="16"/>
          <w:szCs w:val="16"/>
          <w:lang w:eastAsia="cs-CZ"/>
        </w:rPr>
        <w:t>reklamní účely a nebyl vytvořen za účelem komplexního průvodce investicemi. Poskytuje pouze krátký přehled o jednom z investičních</w:t>
      </w:r>
      <w:r w:rsidR="00E56E92">
        <w:rPr>
          <w:rFonts w:ascii="Verdana" w:hAnsi="Verdana"/>
          <w:sz w:val="16"/>
          <w:szCs w:val="16"/>
          <w:lang w:eastAsia="cs-CZ"/>
        </w:rPr>
        <w:t xml:space="preserve"> </w:t>
      </w:r>
      <w:r w:rsidRPr="009C5A9F">
        <w:rPr>
          <w:rFonts w:ascii="Verdana" w:hAnsi="Verdana"/>
          <w:sz w:val="16"/>
          <w:szCs w:val="16"/>
          <w:lang w:eastAsia="cs-CZ"/>
        </w:rPr>
        <w:t>produktů</w:t>
      </w:r>
      <w:r w:rsidR="00E56E92">
        <w:rPr>
          <w:rFonts w:ascii="Verdana" w:hAnsi="Verdana"/>
          <w:sz w:val="16"/>
          <w:szCs w:val="16"/>
          <w:lang w:eastAsia="cs-CZ"/>
        </w:rPr>
        <w:t xml:space="preserve"> </w:t>
      </w:r>
      <w:r w:rsidRPr="009C5A9F">
        <w:rPr>
          <w:rFonts w:ascii="Verdana" w:hAnsi="Verdana"/>
          <w:sz w:val="16"/>
          <w:szCs w:val="16"/>
          <w:lang w:eastAsia="cs-CZ"/>
        </w:rPr>
        <w:t>v současné</w:t>
      </w:r>
      <w:r w:rsidR="00E56E92">
        <w:rPr>
          <w:rFonts w:ascii="Verdana" w:hAnsi="Verdana"/>
          <w:sz w:val="16"/>
          <w:szCs w:val="16"/>
          <w:lang w:eastAsia="cs-CZ"/>
        </w:rPr>
        <w:t xml:space="preserve"> </w:t>
      </w:r>
      <w:r w:rsidRPr="009C5A9F">
        <w:rPr>
          <w:rFonts w:ascii="Verdana" w:hAnsi="Verdana"/>
          <w:sz w:val="16"/>
          <w:szCs w:val="16"/>
          <w:lang w:eastAsia="cs-CZ"/>
        </w:rPr>
        <w:t>nabídce.</w:t>
      </w:r>
      <w:r w:rsidR="00E56E92">
        <w:rPr>
          <w:rFonts w:ascii="Verdana" w:hAnsi="Verdana"/>
          <w:sz w:val="16"/>
          <w:szCs w:val="16"/>
          <w:lang w:eastAsia="cs-CZ"/>
        </w:rPr>
        <w:t xml:space="preserve"> </w:t>
      </w:r>
      <w:r w:rsidRPr="009C5A9F">
        <w:rPr>
          <w:rFonts w:ascii="Verdana" w:hAnsi="Verdana"/>
          <w:sz w:val="16"/>
          <w:szCs w:val="16"/>
          <w:lang w:eastAsia="cs-CZ"/>
        </w:rPr>
        <w:t>Dokument</w:t>
      </w:r>
      <w:r w:rsidR="00E56E92">
        <w:rPr>
          <w:rFonts w:ascii="Verdana" w:hAnsi="Verdana"/>
          <w:sz w:val="16"/>
          <w:szCs w:val="16"/>
          <w:lang w:eastAsia="cs-CZ"/>
        </w:rPr>
        <w:t xml:space="preserve"> </w:t>
      </w:r>
      <w:r w:rsidRPr="009C5A9F">
        <w:rPr>
          <w:rFonts w:ascii="Verdana" w:hAnsi="Verdana"/>
          <w:sz w:val="16"/>
          <w:szCs w:val="16"/>
          <w:lang w:eastAsia="cs-CZ"/>
        </w:rPr>
        <w:t>nenahrazuje</w:t>
      </w:r>
      <w:r w:rsidR="00E56E92">
        <w:rPr>
          <w:rFonts w:ascii="Verdana" w:hAnsi="Verdana"/>
          <w:sz w:val="16"/>
          <w:szCs w:val="16"/>
          <w:lang w:eastAsia="cs-CZ"/>
        </w:rPr>
        <w:t xml:space="preserve"> </w:t>
      </w:r>
      <w:r w:rsidRPr="009C5A9F">
        <w:rPr>
          <w:rFonts w:ascii="Verdana" w:hAnsi="Verdana"/>
          <w:sz w:val="16"/>
          <w:szCs w:val="16"/>
          <w:lang w:eastAsia="cs-CZ"/>
        </w:rPr>
        <w:t>odborné poradenství k finančním nástrojům v něm uvedeným, ani nenahrazuje komplexní poučení o rizicích. Dokument je určen výhradně pro počáteční informační účely a společnost důrazně doporučuje investorům podstoupit investiční a/nebo právní a/nebo daňové poradenství před tím, než učiní investiční rozhodnutí. Informace obsažené v tomto</w:t>
      </w:r>
      <w:r w:rsidR="00E56E92">
        <w:rPr>
          <w:rFonts w:ascii="Verdana" w:hAnsi="Verdana"/>
          <w:sz w:val="16"/>
          <w:szCs w:val="16"/>
          <w:lang w:eastAsia="cs-CZ"/>
        </w:rPr>
        <w:t xml:space="preserve"> </w:t>
      </w:r>
      <w:r w:rsidRPr="009C5A9F">
        <w:rPr>
          <w:rFonts w:ascii="Verdana" w:hAnsi="Verdana"/>
          <w:sz w:val="16"/>
          <w:szCs w:val="16"/>
          <w:lang w:eastAsia="cs-CZ"/>
        </w:rPr>
        <w:t>dokumentu</w:t>
      </w:r>
      <w:r w:rsidR="00E56E92">
        <w:rPr>
          <w:rFonts w:ascii="Verdana" w:hAnsi="Verdana"/>
          <w:sz w:val="16"/>
          <w:szCs w:val="16"/>
          <w:lang w:eastAsia="cs-CZ"/>
        </w:rPr>
        <w:t xml:space="preserve"> </w:t>
      </w:r>
      <w:r w:rsidRPr="009C5A9F">
        <w:rPr>
          <w:rFonts w:ascii="Verdana" w:hAnsi="Verdana"/>
          <w:sz w:val="16"/>
          <w:szCs w:val="16"/>
          <w:lang w:eastAsia="cs-CZ"/>
        </w:rPr>
        <w:t>nelze</w:t>
      </w:r>
      <w:r w:rsidR="00E56E92">
        <w:rPr>
          <w:rFonts w:ascii="Verdana" w:hAnsi="Verdana"/>
          <w:sz w:val="16"/>
          <w:szCs w:val="16"/>
          <w:lang w:eastAsia="cs-CZ"/>
        </w:rPr>
        <w:t xml:space="preserve"> </w:t>
      </w:r>
      <w:r w:rsidRPr="009C5A9F">
        <w:rPr>
          <w:rFonts w:ascii="Verdana" w:hAnsi="Verdana"/>
          <w:sz w:val="16"/>
          <w:szCs w:val="16"/>
          <w:lang w:eastAsia="cs-CZ"/>
        </w:rPr>
        <w:t>považovat</w:t>
      </w:r>
      <w:r w:rsidR="00E56E92">
        <w:rPr>
          <w:rFonts w:ascii="Verdana" w:hAnsi="Verdana"/>
          <w:sz w:val="16"/>
          <w:szCs w:val="16"/>
          <w:lang w:eastAsia="cs-CZ"/>
        </w:rPr>
        <w:t xml:space="preserve"> </w:t>
      </w:r>
      <w:r w:rsidRPr="009C5A9F">
        <w:rPr>
          <w:rFonts w:ascii="Verdana" w:hAnsi="Verdana"/>
          <w:sz w:val="16"/>
          <w:szCs w:val="16"/>
          <w:lang w:eastAsia="cs-CZ"/>
        </w:rPr>
        <w:t>za</w:t>
      </w:r>
      <w:r w:rsidR="00E56E92">
        <w:rPr>
          <w:rFonts w:ascii="Verdana" w:hAnsi="Verdana"/>
          <w:sz w:val="16"/>
          <w:szCs w:val="16"/>
          <w:lang w:eastAsia="cs-CZ"/>
        </w:rPr>
        <w:t xml:space="preserve"> </w:t>
      </w:r>
      <w:r w:rsidRPr="009C5A9F">
        <w:rPr>
          <w:rFonts w:ascii="Verdana" w:hAnsi="Verdana"/>
          <w:sz w:val="16"/>
          <w:szCs w:val="16"/>
          <w:lang w:eastAsia="cs-CZ"/>
        </w:rPr>
        <w:t>radu</w:t>
      </w:r>
      <w:r w:rsidR="00E56E92">
        <w:rPr>
          <w:rFonts w:ascii="Verdana" w:hAnsi="Verdana"/>
          <w:sz w:val="16"/>
          <w:szCs w:val="16"/>
          <w:lang w:eastAsia="cs-CZ"/>
        </w:rPr>
        <w:t xml:space="preserve"> </w:t>
      </w:r>
      <w:r w:rsidRPr="009C5A9F">
        <w:rPr>
          <w:rFonts w:ascii="Verdana" w:hAnsi="Verdana"/>
          <w:sz w:val="16"/>
          <w:szCs w:val="16"/>
          <w:lang w:eastAsia="cs-CZ"/>
        </w:rPr>
        <w:t>k jednotlivé investici, ani</w:t>
      </w:r>
      <w:r w:rsidR="00E56E92">
        <w:rPr>
          <w:rFonts w:ascii="Verdana" w:hAnsi="Verdana"/>
          <w:sz w:val="16"/>
          <w:szCs w:val="16"/>
          <w:lang w:eastAsia="cs-CZ"/>
        </w:rPr>
        <w:t xml:space="preserve"> </w:t>
      </w:r>
      <w:r w:rsidRPr="009C5A9F">
        <w:rPr>
          <w:rFonts w:ascii="Verdana" w:hAnsi="Verdana"/>
          <w:sz w:val="16"/>
          <w:szCs w:val="16"/>
          <w:lang w:eastAsia="cs-CZ"/>
        </w:rPr>
        <w:t>za</w:t>
      </w:r>
      <w:r w:rsidR="00E56E92">
        <w:rPr>
          <w:rFonts w:ascii="Verdana" w:hAnsi="Verdana"/>
          <w:sz w:val="16"/>
          <w:szCs w:val="16"/>
          <w:lang w:eastAsia="cs-CZ"/>
        </w:rPr>
        <w:t xml:space="preserve"> </w:t>
      </w:r>
      <w:r w:rsidRPr="009C5A9F">
        <w:rPr>
          <w:rFonts w:ascii="Verdana" w:hAnsi="Verdana"/>
          <w:sz w:val="16"/>
          <w:szCs w:val="16"/>
          <w:lang w:eastAsia="cs-CZ"/>
        </w:rPr>
        <w:t>daňovou</w:t>
      </w:r>
      <w:r w:rsidR="00E56E92">
        <w:rPr>
          <w:rFonts w:ascii="Verdana" w:hAnsi="Verdana"/>
          <w:sz w:val="16"/>
          <w:szCs w:val="16"/>
          <w:lang w:eastAsia="cs-CZ"/>
        </w:rPr>
        <w:t xml:space="preserve"> </w:t>
      </w:r>
      <w:r w:rsidRPr="009C5A9F">
        <w:rPr>
          <w:rFonts w:ascii="Verdana" w:hAnsi="Verdana"/>
          <w:sz w:val="16"/>
          <w:szCs w:val="16"/>
          <w:lang w:eastAsia="cs-CZ"/>
        </w:rPr>
        <w:t>nebo</w:t>
      </w:r>
      <w:r w:rsidR="00E56E92">
        <w:rPr>
          <w:rFonts w:ascii="Verdana" w:hAnsi="Verdana"/>
          <w:sz w:val="16"/>
          <w:szCs w:val="16"/>
          <w:lang w:eastAsia="cs-CZ"/>
        </w:rPr>
        <w:t xml:space="preserve"> </w:t>
      </w:r>
      <w:r w:rsidRPr="009C5A9F">
        <w:rPr>
          <w:rFonts w:ascii="Verdana" w:hAnsi="Verdana"/>
          <w:sz w:val="16"/>
          <w:szCs w:val="16"/>
          <w:lang w:eastAsia="cs-CZ"/>
        </w:rPr>
        <w:t>právní radu. Pokud se v dokumentu hovoří o jakémkoliv výnosu, je vždy třeba vycházet ze zásady, že minulé</w:t>
      </w:r>
      <w:r w:rsidR="00E56E92">
        <w:rPr>
          <w:rFonts w:ascii="Verdana" w:hAnsi="Verdana"/>
          <w:sz w:val="16"/>
          <w:szCs w:val="16"/>
          <w:lang w:eastAsia="cs-CZ"/>
        </w:rPr>
        <w:t xml:space="preserve"> </w:t>
      </w:r>
      <w:r w:rsidRPr="009C5A9F">
        <w:rPr>
          <w:rFonts w:ascii="Verdana" w:hAnsi="Verdana"/>
          <w:sz w:val="16"/>
          <w:szCs w:val="16"/>
          <w:lang w:eastAsia="cs-CZ"/>
        </w:rPr>
        <w:t>výnosy</w:t>
      </w:r>
      <w:r w:rsidR="00E56E92">
        <w:rPr>
          <w:rFonts w:ascii="Verdana" w:hAnsi="Verdana"/>
          <w:sz w:val="16"/>
          <w:szCs w:val="16"/>
          <w:lang w:eastAsia="cs-CZ"/>
        </w:rPr>
        <w:t xml:space="preserve"> </w:t>
      </w:r>
      <w:r w:rsidRPr="009C5A9F">
        <w:rPr>
          <w:rFonts w:ascii="Verdana" w:hAnsi="Verdana"/>
          <w:sz w:val="16"/>
          <w:szCs w:val="16"/>
          <w:lang w:eastAsia="cs-CZ"/>
        </w:rPr>
        <w:t>nejsou</w:t>
      </w:r>
      <w:r w:rsidR="00E56E92">
        <w:rPr>
          <w:rFonts w:ascii="Verdana" w:hAnsi="Verdana"/>
          <w:sz w:val="16"/>
          <w:szCs w:val="16"/>
          <w:lang w:eastAsia="cs-CZ"/>
        </w:rPr>
        <w:t xml:space="preserve"> </w:t>
      </w:r>
      <w:r w:rsidRPr="009C5A9F">
        <w:rPr>
          <w:rFonts w:ascii="Verdana" w:hAnsi="Verdana"/>
          <w:sz w:val="16"/>
          <w:szCs w:val="16"/>
          <w:lang w:eastAsia="cs-CZ"/>
        </w:rPr>
        <w:t>zárukou</w:t>
      </w:r>
      <w:r w:rsidR="00E56E92">
        <w:rPr>
          <w:rFonts w:ascii="Verdana" w:hAnsi="Verdana"/>
          <w:sz w:val="16"/>
          <w:szCs w:val="16"/>
          <w:lang w:eastAsia="cs-CZ"/>
        </w:rPr>
        <w:t xml:space="preserve"> </w:t>
      </w:r>
      <w:r w:rsidRPr="009C5A9F">
        <w:rPr>
          <w:rFonts w:ascii="Verdana" w:hAnsi="Verdana"/>
          <w:sz w:val="16"/>
          <w:szCs w:val="16"/>
          <w:lang w:eastAsia="cs-CZ"/>
        </w:rPr>
        <w:t>výnosů</w:t>
      </w:r>
      <w:r w:rsidR="00E56E92">
        <w:rPr>
          <w:rFonts w:ascii="Verdana" w:hAnsi="Verdana"/>
          <w:sz w:val="16"/>
          <w:szCs w:val="16"/>
          <w:lang w:eastAsia="cs-CZ"/>
        </w:rPr>
        <w:t xml:space="preserve"> </w:t>
      </w:r>
      <w:r w:rsidRPr="009C5A9F">
        <w:rPr>
          <w:rFonts w:ascii="Verdana" w:hAnsi="Verdana"/>
          <w:sz w:val="16"/>
          <w:szCs w:val="16"/>
          <w:lang w:eastAsia="cs-CZ"/>
        </w:rPr>
        <w:t>budoucích, že jakákoliv investice v sobě zahrnuje riziko kolísání hodnoty a změny směnných kursů a že návratnost původně investovaných prostředků ani výše zisku není, pokud v textu dokumentu</w:t>
      </w:r>
      <w:r w:rsidR="00E56E92">
        <w:rPr>
          <w:rFonts w:ascii="Verdana" w:hAnsi="Verdana"/>
          <w:sz w:val="16"/>
          <w:szCs w:val="16"/>
          <w:lang w:eastAsia="cs-CZ"/>
        </w:rPr>
        <w:t xml:space="preserve"> </w:t>
      </w:r>
      <w:r w:rsidRPr="009C5A9F">
        <w:rPr>
          <w:rFonts w:ascii="Verdana" w:hAnsi="Verdana"/>
          <w:sz w:val="16"/>
          <w:szCs w:val="16"/>
          <w:lang w:eastAsia="cs-CZ"/>
        </w:rPr>
        <w:t>není uvedeno jinak, zaručena. Investoři mohou získat při prodeji uvedeného investičního nástroje před datem splatnosti nebo při splacení investičního nástroje částku nižší než částku investovanou. Potenciální ztráta je omezena na původně investovanou částku. Informace jsou založeny na hrubé výkonnosti před zdaněním. Tento dokument obsahuje příklady vytvořené na základě analýzy scénářů vývoje podkladových instrumentů. Očekávání a</w:t>
      </w:r>
      <w:r w:rsidR="00E56E92">
        <w:rPr>
          <w:rFonts w:ascii="Verdana" w:hAnsi="Verdana"/>
          <w:sz w:val="16"/>
          <w:szCs w:val="16"/>
          <w:lang w:eastAsia="cs-CZ"/>
        </w:rPr>
        <w:t xml:space="preserve"> </w:t>
      </w:r>
      <w:r w:rsidRPr="009C5A9F">
        <w:rPr>
          <w:rFonts w:ascii="Verdana" w:hAnsi="Verdana"/>
          <w:sz w:val="16"/>
          <w:szCs w:val="16"/>
          <w:lang w:eastAsia="cs-CZ"/>
        </w:rPr>
        <w:t>predikce</w:t>
      </w:r>
      <w:r w:rsidR="00E56E92">
        <w:rPr>
          <w:rFonts w:ascii="Verdana" w:hAnsi="Verdana"/>
          <w:sz w:val="16"/>
          <w:szCs w:val="16"/>
          <w:lang w:eastAsia="cs-CZ"/>
        </w:rPr>
        <w:t xml:space="preserve"> </w:t>
      </w:r>
      <w:r w:rsidRPr="009C5A9F">
        <w:rPr>
          <w:rFonts w:ascii="Verdana" w:hAnsi="Verdana"/>
          <w:sz w:val="16"/>
          <w:szCs w:val="16"/>
          <w:lang w:eastAsia="cs-CZ"/>
        </w:rPr>
        <w:t>analytiků</w:t>
      </w:r>
      <w:r w:rsidR="00E56E92">
        <w:rPr>
          <w:rFonts w:ascii="Verdana" w:hAnsi="Verdana"/>
          <w:sz w:val="16"/>
          <w:szCs w:val="16"/>
          <w:lang w:eastAsia="cs-CZ"/>
        </w:rPr>
        <w:t xml:space="preserve"> </w:t>
      </w:r>
      <w:r w:rsidRPr="009C5A9F">
        <w:rPr>
          <w:rFonts w:ascii="Verdana" w:hAnsi="Verdana"/>
          <w:sz w:val="16"/>
          <w:szCs w:val="16"/>
          <w:lang w:eastAsia="cs-CZ"/>
        </w:rPr>
        <w:t>a</w:t>
      </w:r>
      <w:r w:rsidR="00E56E92">
        <w:rPr>
          <w:rFonts w:ascii="Verdana" w:hAnsi="Verdana"/>
          <w:sz w:val="16"/>
          <w:szCs w:val="16"/>
          <w:lang w:eastAsia="cs-CZ"/>
        </w:rPr>
        <w:t xml:space="preserve"> </w:t>
      </w:r>
      <w:r w:rsidRPr="009C5A9F">
        <w:rPr>
          <w:rFonts w:ascii="Verdana" w:hAnsi="Verdana"/>
          <w:sz w:val="16"/>
          <w:szCs w:val="16"/>
          <w:lang w:eastAsia="cs-CZ"/>
        </w:rPr>
        <w:t>stratégů</w:t>
      </w:r>
      <w:r w:rsidR="00E56E92">
        <w:rPr>
          <w:rFonts w:ascii="Verdana" w:hAnsi="Verdana"/>
          <w:sz w:val="16"/>
          <w:szCs w:val="16"/>
          <w:lang w:eastAsia="cs-CZ"/>
        </w:rPr>
        <w:t xml:space="preserve"> </w:t>
      </w:r>
      <w:r w:rsidRPr="009C5A9F">
        <w:rPr>
          <w:rFonts w:ascii="Verdana" w:hAnsi="Verdana"/>
          <w:sz w:val="16"/>
          <w:szCs w:val="16"/>
          <w:lang w:eastAsia="cs-CZ"/>
        </w:rPr>
        <w:t>nejsou</w:t>
      </w:r>
      <w:r w:rsidR="00E56E92">
        <w:rPr>
          <w:rFonts w:ascii="Verdana" w:hAnsi="Verdana"/>
          <w:sz w:val="16"/>
          <w:szCs w:val="16"/>
          <w:lang w:eastAsia="cs-CZ"/>
        </w:rPr>
        <w:t xml:space="preserve"> </w:t>
      </w:r>
      <w:r w:rsidRPr="009C5A9F">
        <w:rPr>
          <w:rFonts w:ascii="Verdana" w:hAnsi="Verdana"/>
          <w:sz w:val="16"/>
          <w:szCs w:val="16"/>
          <w:lang w:eastAsia="cs-CZ"/>
        </w:rPr>
        <w:t>spolehlivým indikátorem</w:t>
      </w:r>
      <w:r w:rsidR="00E56E92">
        <w:rPr>
          <w:rFonts w:ascii="Verdana" w:hAnsi="Verdana"/>
          <w:sz w:val="16"/>
          <w:szCs w:val="16"/>
          <w:lang w:eastAsia="cs-CZ"/>
        </w:rPr>
        <w:t xml:space="preserve"> </w:t>
      </w:r>
      <w:r w:rsidRPr="009C5A9F">
        <w:rPr>
          <w:rFonts w:ascii="Verdana" w:hAnsi="Verdana"/>
          <w:sz w:val="16"/>
          <w:szCs w:val="16"/>
          <w:lang w:eastAsia="cs-CZ"/>
        </w:rPr>
        <w:t>budoucího</w:t>
      </w:r>
      <w:r w:rsidR="00E56E92">
        <w:rPr>
          <w:rFonts w:ascii="Verdana" w:hAnsi="Verdana"/>
          <w:sz w:val="16"/>
          <w:szCs w:val="16"/>
          <w:lang w:eastAsia="cs-CZ"/>
        </w:rPr>
        <w:t xml:space="preserve"> </w:t>
      </w:r>
      <w:r w:rsidRPr="009C5A9F">
        <w:rPr>
          <w:rFonts w:ascii="Verdana" w:hAnsi="Verdana"/>
          <w:sz w:val="16"/>
          <w:szCs w:val="16"/>
          <w:lang w:eastAsia="cs-CZ"/>
        </w:rPr>
        <w:t>vývoje</w:t>
      </w:r>
      <w:r w:rsidR="00E56E92">
        <w:rPr>
          <w:rFonts w:ascii="Verdana" w:hAnsi="Verdana"/>
          <w:sz w:val="16"/>
          <w:szCs w:val="16"/>
          <w:lang w:eastAsia="cs-CZ"/>
        </w:rPr>
        <w:t xml:space="preserve"> </w:t>
      </w:r>
      <w:r w:rsidRPr="009C5A9F">
        <w:rPr>
          <w:rFonts w:ascii="Verdana" w:hAnsi="Verdana"/>
          <w:sz w:val="16"/>
          <w:szCs w:val="16"/>
          <w:lang w:eastAsia="cs-CZ"/>
        </w:rPr>
        <w:t>tržního</w:t>
      </w:r>
      <w:r w:rsidR="00E56E92">
        <w:rPr>
          <w:rFonts w:ascii="Verdana" w:hAnsi="Verdana"/>
          <w:sz w:val="16"/>
          <w:szCs w:val="16"/>
          <w:lang w:eastAsia="cs-CZ"/>
        </w:rPr>
        <w:t xml:space="preserve"> </w:t>
      </w:r>
      <w:r w:rsidRPr="009C5A9F">
        <w:rPr>
          <w:rFonts w:ascii="Verdana" w:hAnsi="Verdana"/>
          <w:sz w:val="16"/>
          <w:szCs w:val="16"/>
          <w:lang w:eastAsia="cs-CZ"/>
        </w:rPr>
        <w:t>kurzu</w:t>
      </w:r>
      <w:r w:rsidR="00E56E92">
        <w:rPr>
          <w:rFonts w:ascii="Verdana" w:hAnsi="Verdana"/>
          <w:sz w:val="16"/>
          <w:szCs w:val="16"/>
          <w:lang w:eastAsia="cs-CZ"/>
        </w:rPr>
        <w:t xml:space="preserve"> </w:t>
      </w:r>
      <w:r w:rsidRPr="009C5A9F">
        <w:rPr>
          <w:rFonts w:ascii="Verdana" w:hAnsi="Verdana"/>
          <w:sz w:val="16"/>
          <w:szCs w:val="16"/>
          <w:lang w:eastAsia="cs-CZ"/>
        </w:rPr>
        <w:t>dotčených</w:t>
      </w:r>
      <w:r w:rsidR="00E56E92">
        <w:rPr>
          <w:rFonts w:ascii="Verdana" w:hAnsi="Verdana"/>
          <w:sz w:val="16"/>
          <w:szCs w:val="16"/>
          <w:lang w:eastAsia="cs-CZ"/>
        </w:rPr>
        <w:t xml:space="preserve"> </w:t>
      </w:r>
      <w:r w:rsidRPr="009C5A9F">
        <w:rPr>
          <w:rFonts w:ascii="Verdana" w:hAnsi="Verdana"/>
          <w:sz w:val="16"/>
          <w:szCs w:val="16"/>
          <w:lang w:eastAsia="cs-CZ"/>
        </w:rPr>
        <w:t>investičních</w:t>
      </w:r>
      <w:r w:rsidR="00E56E92">
        <w:rPr>
          <w:rFonts w:ascii="Verdana" w:hAnsi="Verdana"/>
          <w:sz w:val="16"/>
          <w:szCs w:val="16"/>
          <w:lang w:eastAsia="cs-CZ"/>
        </w:rPr>
        <w:t xml:space="preserve"> </w:t>
      </w:r>
      <w:r w:rsidRPr="009C5A9F">
        <w:rPr>
          <w:rFonts w:ascii="Verdana" w:hAnsi="Verdana"/>
          <w:sz w:val="16"/>
          <w:szCs w:val="16"/>
          <w:lang w:eastAsia="cs-CZ"/>
        </w:rPr>
        <w:t>nástrojů.</w:t>
      </w:r>
      <w:r w:rsidR="00213745" w:rsidRPr="00213745">
        <w:rPr>
          <w:rFonts w:ascii="Verdana" w:hAnsi="Verdana"/>
          <w:sz w:val="16"/>
          <w:szCs w:val="16"/>
          <w:lang w:eastAsia="cs-CZ"/>
        </w:rPr>
        <w:t xml:space="preserve"> </w:t>
      </w:r>
      <w:r w:rsidR="00213745" w:rsidRPr="009C5A9F">
        <w:rPr>
          <w:rFonts w:ascii="Verdana" w:hAnsi="Verdana"/>
          <w:sz w:val="16"/>
          <w:szCs w:val="16"/>
          <w:lang w:eastAsia="cs-CZ"/>
        </w:rPr>
        <w:t>Příklady</w:t>
      </w:r>
      <w:r w:rsidR="00E56E92">
        <w:rPr>
          <w:rFonts w:ascii="Verdana" w:hAnsi="Verdana"/>
          <w:sz w:val="16"/>
          <w:szCs w:val="16"/>
          <w:lang w:eastAsia="cs-CZ"/>
        </w:rPr>
        <w:t xml:space="preserve"> </w:t>
      </w:r>
      <w:r w:rsidR="00213745" w:rsidRPr="009C5A9F">
        <w:rPr>
          <w:rFonts w:ascii="Verdana" w:hAnsi="Verdana"/>
          <w:sz w:val="16"/>
          <w:szCs w:val="16"/>
          <w:lang w:eastAsia="cs-CZ"/>
        </w:rPr>
        <w:t>jsou</w:t>
      </w:r>
      <w:r w:rsidR="00E56E92">
        <w:rPr>
          <w:rFonts w:ascii="Verdana" w:hAnsi="Verdana"/>
          <w:sz w:val="16"/>
          <w:szCs w:val="16"/>
          <w:lang w:eastAsia="cs-CZ"/>
        </w:rPr>
        <w:t xml:space="preserve"> </w:t>
      </w:r>
      <w:r w:rsidR="00213745" w:rsidRPr="009C5A9F">
        <w:rPr>
          <w:rFonts w:ascii="Verdana" w:hAnsi="Verdana"/>
          <w:sz w:val="16"/>
          <w:szCs w:val="16"/>
          <w:lang w:eastAsia="cs-CZ"/>
        </w:rPr>
        <w:t>založeny</w:t>
      </w:r>
      <w:r w:rsidR="00E56E92">
        <w:rPr>
          <w:rFonts w:ascii="Verdana" w:hAnsi="Verdana"/>
          <w:sz w:val="16"/>
          <w:szCs w:val="16"/>
          <w:lang w:eastAsia="cs-CZ"/>
        </w:rPr>
        <w:t xml:space="preserve"> </w:t>
      </w:r>
      <w:r w:rsidR="00213745" w:rsidRPr="009C5A9F">
        <w:rPr>
          <w:rFonts w:ascii="Verdana" w:hAnsi="Verdana"/>
          <w:sz w:val="16"/>
          <w:szCs w:val="16"/>
          <w:lang w:eastAsia="cs-CZ"/>
        </w:rPr>
        <w:t>pouze</w:t>
      </w:r>
      <w:r w:rsidR="00E56E92">
        <w:rPr>
          <w:rFonts w:ascii="Verdana" w:hAnsi="Verdana"/>
          <w:sz w:val="16"/>
          <w:szCs w:val="16"/>
          <w:lang w:eastAsia="cs-CZ"/>
        </w:rPr>
        <w:t xml:space="preserve"> </w:t>
      </w:r>
      <w:r w:rsidR="00213745" w:rsidRPr="009C5A9F">
        <w:rPr>
          <w:rFonts w:ascii="Verdana" w:hAnsi="Verdana"/>
          <w:sz w:val="16"/>
          <w:szCs w:val="16"/>
          <w:lang w:eastAsia="cs-CZ"/>
        </w:rPr>
        <w:t>na</w:t>
      </w:r>
      <w:r w:rsidR="00E56E92">
        <w:rPr>
          <w:rFonts w:ascii="Verdana" w:hAnsi="Verdana"/>
          <w:sz w:val="16"/>
          <w:szCs w:val="16"/>
          <w:lang w:eastAsia="cs-CZ"/>
        </w:rPr>
        <w:t xml:space="preserve"> </w:t>
      </w:r>
      <w:r w:rsidR="00213745" w:rsidRPr="009C5A9F">
        <w:rPr>
          <w:rFonts w:ascii="Verdana" w:hAnsi="Verdana"/>
          <w:sz w:val="16"/>
          <w:szCs w:val="16"/>
          <w:lang w:eastAsia="cs-CZ"/>
        </w:rPr>
        <w:t>hypotetických</w:t>
      </w:r>
      <w:r w:rsidR="00E56E92">
        <w:rPr>
          <w:rFonts w:ascii="Verdana" w:hAnsi="Verdana"/>
          <w:sz w:val="16"/>
          <w:szCs w:val="16"/>
          <w:lang w:eastAsia="cs-CZ"/>
        </w:rPr>
        <w:t xml:space="preserve"> </w:t>
      </w:r>
      <w:r w:rsidR="00213745" w:rsidRPr="009C5A9F">
        <w:rPr>
          <w:rFonts w:ascii="Verdana" w:hAnsi="Verdana"/>
          <w:sz w:val="16"/>
          <w:szCs w:val="16"/>
          <w:lang w:eastAsia="cs-CZ"/>
        </w:rPr>
        <w:t>předpokladech</w:t>
      </w:r>
      <w:r w:rsidR="00E56E92">
        <w:rPr>
          <w:rFonts w:ascii="Verdana" w:hAnsi="Verdana"/>
          <w:sz w:val="16"/>
          <w:szCs w:val="16"/>
          <w:lang w:eastAsia="cs-CZ"/>
        </w:rPr>
        <w:t xml:space="preserve"> </w:t>
      </w:r>
      <w:r w:rsidR="00213745" w:rsidRPr="009C5A9F">
        <w:rPr>
          <w:rFonts w:ascii="Verdana" w:hAnsi="Verdana"/>
          <w:sz w:val="16"/>
          <w:szCs w:val="16"/>
          <w:lang w:eastAsia="cs-CZ"/>
        </w:rPr>
        <w:t>a</w:t>
      </w:r>
      <w:r w:rsidR="00E56E92">
        <w:rPr>
          <w:rFonts w:ascii="Verdana" w:hAnsi="Verdana"/>
          <w:sz w:val="16"/>
          <w:szCs w:val="16"/>
          <w:lang w:eastAsia="cs-CZ"/>
        </w:rPr>
        <w:t xml:space="preserve"> </w:t>
      </w:r>
      <w:r w:rsidR="00213745" w:rsidRPr="009C5A9F">
        <w:rPr>
          <w:rFonts w:ascii="Verdana" w:hAnsi="Verdana"/>
          <w:sz w:val="16"/>
          <w:szCs w:val="16"/>
          <w:lang w:eastAsia="cs-CZ"/>
        </w:rPr>
        <w:t>neumožňují</w:t>
      </w:r>
      <w:r w:rsidR="00E56E92">
        <w:rPr>
          <w:rFonts w:ascii="Verdana" w:hAnsi="Verdana"/>
          <w:sz w:val="16"/>
          <w:szCs w:val="16"/>
          <w:lang w:eastAsia="cs-CZ"/>
        </w:rPr>
        <w:t xml:space="preserve"> </w:t>
      </w:r>
      <w:r w:rsidR="00213745" w:rsidRPr="009C5A9F">
        <w:rPr>
          <w:rFonts w:ascii="Verdana" w:hAnsi="Verdana"/>
          <w:sz w:val="16"/>
          <w:szCs w:val="16"/>
          <w:lang w:eastAsia="cs-CZ"/>
        </w:rPr>
        <w:t>jakýkoli</w:t>
      </w:r>
      <w:r w:rsidR="00E56E92">
        <w:rPr>
          <w:rFonts w:ascii="Verdana" w:hAnsi="Verdana"/>
          <w:sz w:val="16"/>
          <w:szCs w:val="16"/>
          <w:lang w:eastAsia="cs-CZ"/>
        </w:rPr>
        <w:t xml:space="preserve"> </w:t>
      </w:r>
      <w:r w:rsidR="00213745" w:rsidRPr="009C5A9F">
        <w:rPr>
          <w:rFonts w:ascii="Verdana" w:hAnsi="Verdana"/>
          <w:sz w:val="16"/>
          <w:szCs w:val="16"/>
          <w:lang w:eastAsia="cs-CZ"/>
        </w:rPr>
        <w:t>závěr</w:t>
      </w:r>
      <w:r w:rsidR="00E56E92">
        <w:rPr>
          <w:rFonts w:ascii="Verdana" w:hAnsi="Verdana"/>
          <w:sz w:val="16"/>
          <w:szCs w:val="16"/>
          <w:lang w:eastAsia="cs-CZ"/>
        </w:rPr>
        <w:t xml:space="preserve"> </w:t>
      </w:r>
      <w:r w:rsidR="00213745" w:rsidRPr="009C5A9F">
        <w:rPr>
          <w:rFonts w:ascii="Verdana" w:hAnsi="Verdana"/>
          <w:sz w:val="16"/>
          <w:szCs w:val="16"/>
          <w:lang w:eastAsia="cs-CZ"/>
        </w:rPr>
        <w:t>o</w:t>
      </w:r>
      <w:r w:rsidR="00E56E92">
        <w:rPr>
          <w:rFonts w:ascii="Verdana" w:hAnsi="Verdana"/>
          <w:sz w:val="16"/>
          <w:szCs w:val="16"/>
          <w:lang w:eastAsia="cs-CZ"/>
        </w:rPr>
        <w:t xml:space="preserve"> </w:t>
      </w:r>
      <w:r w:rsidR="00213745" w:rsidRPr="009C5A9F">
        <w:rPr>
          <w:rFonts w:ascii="Verdana" w:hAnsi="Verdana"/>
          <w:sz w:val="16"/>
          <w:szCs w:val="16"/>
          <w:lang w:eastAsia="cs-CZ"/>
        </w:rPr>
        <w:t>budoucím</w:t>
      </w:r>
      <w:r w:rsidR="00E56E92">
        <w:rPr>
          <w:rFonts w:ascii="Verdana" w:hAnsi="Verdana"/>
          <w:sz w:val="16"/>
          <w:szCs w:val="16"/>
          <w:lang w:eastAsia="cs-CZ"/>
        </w:rPr>
        <w:t xml:space="preserve"> </w:t>
      </w:r>
      <w:r w:rsidR="00213745" w:rsidRPr="009C5A9F">
        <w:rPr>
          <w:rFonts w:ascii="Verdana" w:hAnsi="Verdana"/>
          <w:sz w:val="16"/>
          <w:szCs w:val="16"/>
          <w:lang w:eastAsia="cs-CZ"/>
        </w:rPr>
        <w:t>vývoji</w:t>
      </w:r>
      <w:r w:rsidR="00E56E92">
        <w:rPr>
          <w:rFonts w:ascii="Verdana" w:hAnsi="Verdana"/>
          <w:sz w:val="16"/>
          <w:szCs w:val="16"/>
          <w:lang w:eastAsia="cs-CZ"/>
        </w:rPr>
        <w:t xml:space="preserve"> </w:t>
      </w:r>
      <w:r w:rsidR="00213745" w:rsidRPr="009C5A9F">
        <w:rPr>
          <w:rFonts w:ascii="Verdana" w:hAnsi="Verdana"/>
          <w:sz w:val="16"/>
          <w:szCs w:val="16"/>
          <w:lang w:eastAsia="cs-CZ"/>
        </w:rPr>
        <w:t>ceny</w:t>
      </w:r>
      <w:r w:rsidR="00E56E92">
        <w:rPr>
          <w:rFonts w:ascii="Verdana" w:hAnsi="Verdana"/>
          <w:sz w:val="16"/>
          <w:szCs w:val="16"/>
          <w:lang w:eastAsia="cs-CZ"/>
        </w:rPr>
        <w:t xml:space="preserve"> </w:t>
      </w:r>
      <w:r w:rsidR="00213745" w:rsidRPr="009C5A9F">
        <w:rPr>
          <w:rFonts w:ascii="Verdana" w:hAnsi="Verdana"/>
          <w:sz w:val="16"/>
          <w:szCs w:val="16"/>
          <w:lang w:eastAsia="cs-CZ"/>
        </w:rPr>
        <w:t>investičního</w:t>
      </w:r>
      <w:r w:rsidR="00E56E92">
        <w:rPr>
          <w:rFonts w:ascii="Verdana" w:hAnsi="Verdana"/>
          <w:sz w:val="16"/>
          <w:szCs w:val="16"/>
          <w:lang w:eastAsia="cs-CZ"/>
        </w:rPr>
        <w:t xml:space="preserve"> </w:t>
      </w:r>
      <w:r w:rsidR="00213745" w:rsidRPr="009C5A9F">
        <w:rPr>
          <w:rFonts w:ascii="Verdana" w:hAnsi="Verdana"/>
          <w:sz w:val="16"/>
          <w:szCs w:val="16"/>
          <w:lang w:eastAsia="cs-CZ"/>
        </w:rPr>
        <w:t>nástroje.</w:t>
      </w:r>
      <w:r w:rsidR="00E56E92">
        <w:rPr>
          <w:rFonts w:ascii="Verdana" w:hAnsi="Verdana"/>
          <w:sz w:val="16"/>
          <w:szCs w:val="16"/>
          <w:lang w:eastAsia="cs-CZ"/>
        </w:rPr>
        <w:t xml:space="preserve"> </w:t>
      </w:r>
      <w:r w:rsidR="00213745" w:rsidRPr="009C5A9F">
        <w:rPr>
          <w:rFonts w:ascii="Verdana" w:hAnsi="Verdana"/>
          <w:sz w:val="16"/>
          <w:szCs w:val="16"/>
          <w:lang w:eastAsia="cs-CZ"/>
        </w:rPr>
        <w:t>Zdanění</w:t>
      </w:r>
      <w:r w:rsidR="00E56E92">
        <w:rPr>
          <w:rFonts w:ascii="Verdana" w:hAnsi="Verdana"/>
          <w:sz w:val="16"/>
          <w:szCs w:val="16"/>
          <w:lang w:eastAsia="cs-CZ"/>
        </w:rPr>
        <w:t xml:space="preserve"> </w:t>
      </w:r>
      <w:r w:rsidR="00213745" w:rsidRPr="009C5A9F">
        <w:rPr>
          <w:rFonts w:ascii="Verdana" w:hAnsi="Verdana"/>
          <w:sz w:val="16"/>
          <w:szCs w:val="16"/>
          <w:lang w:eastAsia="cs-CZ"/>
        </w:rPr>
        <w:t>je</w:t>
      </w:r>
      <w:r w:rsidR="00E56E92">
        <w:rPr>
          <w:rFonts w:ascii="Verdana" w:hAnsi="Verdana"/>
          <w:sz w:val="16"/>
          <w:szCs w:val="16"/>
          <w:lang w:eastAsia="cs-CZ"/>
        </w:rPr>
        <w:t xml:space="preserve"> </w:t>
      </w:r>
      <w:r w:rsidR="00213745" w:rsidRPr="009C5A9F">
        <w:rPr>
          <w:rFonts w:ascii="Verdana" w:hAnsi="Verdana"/>
          <w:sz w:val="16"/>
          <w:szCs w:val="16"/>
          <w:lang w:eastAsia="cs-CZ"/>
        </w:rPr>
        <w:t>závislé</w:t>
      </w:r>
      <w:r w:rsidR="00E56E92">
        <w:rPr>
          <w:rFonts w:ascii="Verdana" w:hAnsi="Verdana"/>
          <w:sz w:val="16"/>
          <w:szCs w:val="16"/>
          <w:lang w:eastAsia="cs-CZ"/>
        </w:rPr>
        <w:t xml:space="preserve"> </w:t>
      </w:r>
      <w:r w:rsidR="00213745" w:rsidRPr="009C5A9F">
        <w:rPr>
          <w:rFonts w:ascii="Verdana" w:hAnsi="Verdana"/>
          <w:sz w:val="16"/>
          <w:szCs w:val="16"/>
          <w:lang w:eastAsia="cs-CZ"/>
        </w:rPr>
        <w:t>na</w:t>
      </w:r>
      <w:r w:rsidR="00E56E92">
        <w:rPr>
          <w:rFonts w:ascii="Verdana" w:hAnsi="Verdana"/>
          <w:sz w:val="16"/>
          <w:szCs w:val="16"/>
          <w:lang w:eastAsia="cs-CZ"/>
        </w:rPr>
        <w:t xml:space="preserve"> </w:t>
      </w:r>
      <w:r w:rsidR="00213745" w:rsidRPr="009C5A9F">
        <w:rPr>
          <w:rFonts w:ascii="Verdana" w:hAnsi="Verdana"/>
          <w:sz w:val="16"/>
          <w:szCs w:val="16"/>
          <w:lang w:eastAsia="cs-CZ"/>
        </w:rPr>
        <w:t>osobních</w:t>
      </w:r>
      <w:r w:rsidR="00E56E92">
        <w:rPr>
          <w:rFonts w:ascii="Verdana" w:hAnsi="Verdana"/>
          <w:sz w:val="16"/>
          <w:szCs w:val="16"/>
          <w:lang w:eastAsia="cs-CZ"/>
        </w:rPr>
        <w:t xml:space="preserve"> </w:t>
      </w:r>
      <w:r w:rsidR="00213745" w:rsidRPr="009C5A9F">
        <w:rPr>
          <w:rFonts w:ascii="Verdana" w:hAnsi="Verdana"/>
          <w:sz w:val="16"/>
          <w:szCs w:val="16"/>
          <w:lang w:eastAsia="cs-CZ"/>
        </w:rPr>
        <w:t>poměrech každého investora a podléhá zákonným předpisům a dohledu příslušných úřadů. Tento dokument byl připraven s náležitou a patřičnou pečlivostí a pozorností, společnost však neposkytuje garance či ujištění, ať výslovné nebo předpokládané, o jeho přesnosti, správnosti, aktuálnosti nebo úplnosti.</w:t>
      </w:r>
      <w:r w:rsidR="00E56E92">
        <w:rPr>
          <w:rFonts w:ascii="Verdana" w:hAnsi="Verdana"/>
          <w:sz w:val="16"/>
          <w:szCs w:val="16"/>
          <w:lang w:eastAsia="cs-CZ"/>
        </w:rPr>
        <w:t xml:space="preserve"> </w:t>
      </w:r>
      <w:r w:rsidR="00213745" w:rsidRPr="009C5A9F">
        <w:rPr>
          <w:rFonts w:ascii="Verdana" w:hAnsi="Verdana"/>
          <w:sz w:val="16"/>
          <w:szCs w:val="16"/>
          <w:lang w:eastAsia="cs-CZ"/>
        </w:rPr>
        <w:t>Z informací v</w:t>
      </w:r>
      <w:r w:rsidR="00E56E92">
        <w:rPr>
          <w:rFonts w:ascii="Verdana" w:hAnsi="Verdana"/>
          <w:sz w:val="16"/>
          <w:szCs w:val="16"/>
          <w:lang w:eastAsia="cs-CZ"/>
        </w:rPr>
        <w:t xml:space="preserve"> </w:t>
      </w:r>
      <w:r w:rsidR="00213745" w:rsidRPr="009C5A9F">
        <w:rPr>
          <w:rFonts w:ascii="Verdana" w:hAnsi="Verdana"/>
          <w:sz w:val="16"/>
          <w:szCs w:val="16"/>
          <w:lang w:eastAsia="cs-CZ"/>
        </w:rPr>
        <w:t>tomto</w:t>
      </w:r>
      <w:r w:rsidR="00E56E92">
        <w:rPr>
          <w:rFonts w:ascii="Verdana" w:hAnsi="Verdana"/>
          <w:sz w:val="16"/>
          <w:szCs w:val="16"/>
          <w:lang w:eastAsia="cs-CZ"/>
        </w:rPr>
        <w:t xml:space="preserve"> </w:t>
      </w:r>
      <w:r w:rsidR="00213745" w:rsidRPr="009C5A9F">
        <w:rPr>
          <w:rFonts w:ascii="Verdana" w:hAnsi="Verdana"/>
          <w:sz w:val="16"/>
          <w:szCs w:val="16"/>
          <w:lang w:eastAsia="cs-CZ"/>
        </w:rPr>
        <w:t>dokumentu není</w:t>
      </w:r>
      <w:r w:rsidR="00E56E92">
        <w:rPr>
          <w:rFonts w:ascii="Verdana" w:hAnsi="Verdana"/>
          <w:sz w:val="16"/>
          <w:szCs w:val="16"/>
          <w:lang w:eastAsia="cs-CZ"/>
        </w:rPr>
        <w:t xml:space="preserve"> </w:t>
      </w:r>
      <w:r w:rsidR="00213745" w:rsidRPr="009C5A9F">
        <w:rPr>
          <w:rFonts w:ascii="Verdana" w:hAnsi="Verdana"/>
          <w:sz w:val="16"/>
          <w:szCs w:val="16"/>
          <w:lang w:eastAsia="cs-CZ"/>
        </w:rPr>
        <w:t>možné odvozovat</w:t>
      </w:r>
      <w:r w:rsidR="00E56E92">
        <w:rPr>
          <w:rFonts w:ascii="Verdana" w:hAnsi="Verdana"/>
          <w:sz w:val="16"/>
          <w:szCs w:val="16"/>
          <w:lang w:eastAsia="cs-CZ"/>
        </w:rPr>
        <w:t xml:space="preserve"> </w:t>
      </w:r>
      <w:r w:rsidR="00213745" w:rsidRPr="009C5A9F">
        <w:rPr>
          <w:rFonts w:ascii="Verdana" w:hAnsi="Verdana"/>
          <w:sz w:val="16"/>
          <w:szCs w:val="16"/>
          <w:lang w:eastAsia="cs-CZ"/>
        </w:rPr>
        <w:t>žádná práva</w:t>
      </w:r>
      <w:r w:rsidR="00E56E92">
        <w:rPr>
          <w:rFonts w:ascii="Verdana" w:hAnsi="Verdana"/>
          <w:sz w:val="16"/>
          <w:szCs w:val="16"/>
          <w:lang w:eastAsia="cs-CZ"/>
        </w:rPr>
        <w:t xml:space="preserve"> </w:t>
      </w:r>
      <w:r w:rsidR="00213745" w:rsidRPr="009C5A9F">
        <w:rPr>
          <w:rFonts w:ascii="Verdana" w:hAnsi="Verdana"/>
          <w:sz w:val="16"/>
          <w:szCs w:val="16"/>
          <w:lang w:eastAsia="cs-CZ"/>
        </w:rPr>
        <w:t>ani povinnosti. Informace o společnosti a podrobné informace o</w:t>
      </w:r>
      <w:r w:rsidR="00E56E92">
        <w:rPr>
          <w:rFonts w:ascii="Verdana" w:hAnsi="Verdana"/>
          <w:sz w:val="16"/>
          <w:szCs w:val="16"/>
          <w:lang w:eastAsia="cs-CZ"/>
        </w:rPr>
        <w:t xml:space="preserve"> </w:t>
      </w:r>
      <w:r w:rsidR="00213745" w:rsidRPr="009C5A9F">
        <w:rPr>
          <w:rFonts w:ascii="Verdana" w:hAnsi="Verdana"/>
          <w:sz w:val="16"/>
          <w:szCs w:val="16"/>
          <w:lang w:eastAsia="cs-CZ"/>
        </w:rPr>
        <w:t>pobídkách</w:t>
      </w:r>
      <w:r w:rsidR="00E56E92">
        <w:rPr>
          <w:rFonts w:ascii="Verdana" w:hAnsi="Verdana"/>
          <w:sz w:val="16"/>
          <w:szCs w:val="16"/>
          <w:lang w:eastAsia="cs-CZ"/>
        </w:rPr>
        <w:t xml:space="preserve"> </w:t>
      </w:r>
      <w:r w:rsidR="00213745" w:rsidRPr="009C5A9F">
        <w:rPr>
          <w:rFonts w:ascii="Verdana" w:hAnsi="Verdana"/>
          <w:sz w:val="16"/>
          <w:szCs w:val="16"/>
          <w:lang w:eastAsia="cs-CZ"/>
        </w:rPr>
        <w:t>a střetech zájmů</w:t>
      </w:r>
      <w:r w:rsidR="00E56E92">
        <w:rPr>
          <w:rFonts w:ascii="Verdana" w:hAnsi="Verdana"/>
          <w:sz w:val="16"/>
          <w:szCs w:val="16"/>
          <w:lang w:eastAsia="cs-CZ"/>
        </w:rPr>
        <w:t xml:space="preserve"> </w:t>
      </w:r>
      <w:r w:rsidR="00213745" w:rsidRPr="009C5A9F">
        <w:rPr>
          <w:rFonts w:ascii="Verdana" w:hAnsi="Verdana"/>
          <w:sz w:val="16"/>
          <w:szCs w:val="16"/>
          <w:lang w:eastAsia="cs-CZ"/>
        </w:rPr>
        <w:t>naleznete na www.cyrrus.cz</w:t>
      </w:r>
      <w:r w:rsidR="00E56E92">
        <w:rPr>
          <w:rFonts w:ascii="Verdana" w:hAnsi="Verdana"/>
          <w:sz w:val="16"/>
          <w:szCs w:val="16"/>
          <w:lang w:eastAsia="cs-CZ"/>
        </w:rPr>
        <w:t xml:space="preserve"> </w:t>
      </w:r>
      <w:r w:rsidR="00213745" w:rsidRPr="009C5A9F">
        <w:rPr>
          <w:rFonts w:ascii="Verdana" w:hAnsi="Verdana"/>
          <w:sz w:val="16"/>
          <w:szCs w:val="16"/>
          <w:lang w:eastAsia="cs-CZ"/>
        </w:rPr>
        <w:t>v sekci O společnosti.</w:t>
      </w:r>
      <w:r w:rsidR="00E56E92">
        <w:rPr>
          <w:rFonts w:ascii="Verdana" w:hAnsi="Verdana"/>
          <w:sz w:val="16"/>
          <w:szCs w:val="16"/>
          <w:lang w:eastAsia="cs-CZ"/>
        </w:rPr>
        <w:t xml:space="preserve"> </w:t>
      </w:r>
      <w:r w:rsidR="00213745" w:rsidRPr="009C5A9F">
        <w:rPr>
          <w:rFonts w:ascii="Verdana" w:hAnsi="Verdana"/>
          <w:sz w:val="16"/>
          <w:szCs w:val="16"/>
          <w:lang w:eastAsia="cs-CZ"/>
        </w:rPr>
        <w:t>Tiskové chyby vyhrazeny.</w:t>
      </w:r>
      <w:r w:rsidR="00E56E92">
        <w:rPr>
          <w:rFonts w:ascii="Verdana" w:hAnsi="Verdana"/>
          <w:sz w:val="16"/>
          <w:szCs w:val="16"/>
          <w:lang w:eastAsia="cs-CZ"/>
        </w:rPr>
        <w:t xml:space="preserve"> </w:t>
      </w:r>
      <w:r w:rsidR="00213745" w:rsidRPr="009C5A9F">
        <w:rPr>
          <w:rFonts w:ascii="Verdana" w:hAnsi="Verdana"/>
          <w:sz w:val="16"/>
          <w:szCs w:val="16"/>
          <w:lang w:eastAsia="cs-CZ"/>
        </w:rPr>
        <w:t>Obsah dokumentu</w:t>
      </w:r>
      <w:r w:rsidR="00E56E92">
        <w:rPr>
          <w:rFonts w:ascii="Verdana" w:hAnsi="Verdana"/>
          <w:sz w:val="16"/>
          <w:szCs w:val="16"/>
          <w:lang w:eastAsia="cs-CZ"/>
        </w:rPr>
        <w:t xml:space="preserve"> </w:t>
      </w:r>
      <w:r w:rsidR="00213745" w:rsidRPr="009C5A9F">
        <w:rPr>
          <w:rFonts w:ascii="Verdana" w:hAnsi="Verdana"/>
          <w:sz w:val="16"/>
          <w:szCs w:val="16"/>
          <w:lang w:eastAsia="cs-CZ"/>
        </w:rPr>
        <w:t>je chráněn dle autorského zákona, majitelem autorských práv je společnost. Společnost zakazuje zveřejnění a šíření dokumentu bez jejího písemného souhlasu. Společnost nenese odpovědnost za šíření nebo uveřejnění dokumentu třetími osobami.</w:t>
      </w:r>
    </w:p>
    <w:p w14:paraId="175C796F" w14:textId="3EF8C8BB" w:rsidR="00D64538" w:rsidRPr="009C5A9F" w:rsidRDefault="00D64538" w:rsidP="00D64538">
      <w:pPr>
        <w:spacing w:line="360" w:lineRule="auto"/>
        <w:jc w:val="both"/>
        <w:rPr>
          <w:rFonts w:ascii="Verdana" w:hAnsi="Verdana"/>
          <w:sz w:val="16"/>
          <w:szCs w:val="16"/>
          <w:lang w:eastAsia="cs-CZ"/>
        </w:rPr>
      </w:pPr>
    </w:p>
    <w:tbl>
      <w:tblPr>
        <w:tblStyle w:val="Mkatabulky"/>
        <w:tblpPr w:leftFromText="142" w:rightFromText="142" w:vertAnchor="page" w:horzAnchor="margin" w:tblpY="100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67"/>
        <w:gridCol w:w="4167"/>
      </w:tblGrid>
      <w:tr w:rsidR="00C63A3C" w:rsidRPr="009C5A9F" w14:paraId="4FDEF083" w14:textId="77777777" w:rsidTr="00C63A3C">
        <w:trPr>
          <w:trHeight w:val="284"/>
        </w:trPr>
        <w:tc>
          <w:tcPr>
            <w:tcW w:w="2122" w:type="dxa"/>
            <w:tcBorders>
              <w:top w:val="single" w:sz="8" w:space="0" w:color="A6A6A6" w:themeColor="background1" w:themeShade="A6"/>
            </w:tcBorders>
          </w:tcPr>
          <w:p w14:paraId="7E6D9EAD" w14:textId="77777777" w:rsidR="00C63A3C" w:rsidRPr="009C5A9F" w:rsidRDefault="00C63A3C" w:rsidP="00C63A3C">
            <w:pPr>
              <w:pStyle w:val="Zpat"/>
              <w:jc w:val="both"/>
              <w:rPr>
                <w:rFonts w:ascii="Verdana" w:hAnsi="Verdana"/>
                <w:color w:val="FFC832" w:themeColor="background2"/>
                <w:sz w:val="28"/>
              </w:rPr>
            </w:pPr>
          </w:p>
        </w:tc>
        <w:tc>
          <w:tcPr>
            <w:tcW w:w="8334" w:type="dxa"/>
            <w:gridSpan w:val="2"/>
            <w:tcBorders>
              <w:top w:val="single" w:sz="8" w:space="0" w:color="A6A6A6" w:themeColor="background1" w:themeShade="A6"/>
            </w:tcBorders>
          </w:tcPr>
          <w:p w14:paraId="4E6D3D8C" w14:textId="77777777" w:rsidR="00C63A3C" w:rsidRPr="009C5A9F" w:rsidRDefault="00C63A3C" w:rsidP="00C63A3C">
            <w:pPr>
              <w:pStyle w:val="Zpat"/>
              <w:jc w:val="both"/>
              <w:rPr>
                <w:rFonts w:ascii="Verdana" w:hAnsi="Verdana"/>
              </w:rPr>
            </w:pPr>
          </w:p>
        </w:tc>
      </w:tr>
      <w:tr w:rsidR="00C63A3C" w:rsidRPr="009C5A9F" w14:paraId="55CDE469" w14:textId="77777777" w:rsidTr="00C63A3C">
        <w:trPr>
          <w:trHeight w:val="1127"/>
        </w:trPr>
        <w:tc>
          <w:tcPr>
            <w:tcW w:w="2122" w:type="dxa"/>
          </w:tcPr>
          <w:p w14:paraId="36BDA476" w14:textId="77777777" w:rsidR="00C63A3C" w:rsidRPr="009C5A9F" w:rsidRDefault="00C63A3C" w:rsidP="00C63A3C">
            <w:pPr>
              <w:pStyle w:val="Zpat"/>
              <w:jc w:val="both"/>
              <w:rPr>
                <w:rFonts w:ascii="Verdana" w:hAnsi="Verdana"/>
                <w:b/>
              </w:rPr>
            </w:pPr>
            <w:r w:rsidRPr="009C5A9F">
              <w:rPr>
                <w:rFonts w:ascii="Verdana" w:hAnsi="Verdana"/>
                <w:b/>
                <w:color w:val="FFC832" w:themeColor="background2"/>
                <w:sz w:val="28"/>
              </w:rPr>
              <w:t>Investujte.</w:t>
            </w:r>
            <w:r w:rsidRPr="009C5A9F">
              <w:rPr>
                <w:rFonts w:ascii="Verdana" w:hAnsi="Verdana"/>
                <w:b/>
                <w:color w:val="FFC832" w:themeColor="background2"/>
                <w:sz w:val="28"/>
              </w:rPr>
              <w:br/>
              <w:t>CYRRUS</w:t>
            </w:r>
          </w:p>
        </w:tc>
        <w:tc>
          <w:tcPr>
            <w:tcW w:w="8334" w:type="dxa"/>
            <w:gridSpan w:val="2"/>
          </w:tcPr>
          <w:p w14:paraId="245B18A9" w14:textId="77777777" w:rsidR="00C63A3C" w:rsidRPr="009C5A9F" w:rsidRDefault="00C63A3C" w:rsidP="00C63A3C">
            <w:pPr>
              <w:pStyle w:val="Zpat"/>
              <w:jc w:val="both"/>
              <w:rPr>
                <w:rFonts w:ascii="Verdana" w:hAnsi="Verdana"/>
              </w:rPr>
            </w:pPr>
            <w:r w:rsidRPr="009C5A9F">
              <w:rPr>
                <w:rFonts w:ascii="Verdana" w:hAnsi="Verdana"/>
              </w:rPr>
              <w:t>V roce 1995 jsme se vydali na cestu brokera. 25 let obchodujeme s cennými papíry, staráme se o své klienty, reagujeme na dění ve světě a rozvíjíme se. Díky tomu vám můžeme přinášet stále nové služby a inovativní možnosti investování. Jsme CYRRUS.</w:t>
            </w:r>
          </w:p>
        </w:tc>
      </w:tr>
      <w:tr w:rsidR="00166494" w:rsidRPr="009C5A9F" w14:paraId="4874CD78" w14:textId="77777777" w:rsidTr="00166494">
        <w:trPr>
          <w:trHeight w:val="1895"/>
        </w:trPr>
        <w:tc>
          <w:tcPr>
            <w:tcW w:w="2122" w:type="dxa"/>
            <w:vMerge w:val="restart"/>
          </w:tcPr>
          <w:p w14:paraId="56C061E4" w14:textId="77777777" w:rsidR="00166494" w:rsidRPr="009C5A9F" w:rsidRDefault="00166494" w:rsidP="00C63A3C">
            <w:pPr>
              <w:pStyle w:val="Zpat"/>
              <w:spacing w:after="240"/>
              <w:jc w:val="both"/>
              <w:rPr>
                <w:rFonts w:ascii="Verdana" w:hAnsi="Verdana"/>
                <w:sz w:val="16"/>
              </w:rPr>
            </w:pPr>
            <w:hyperlink r:id="rId10" w:history="1">
              <w:r w:rsidRPr="009C5A9F">
                <w:rPr>
                  <w:rStyle w:val="Hypertextovodkaz"/>
                  <w:rFonts w:ascii="Verdana" w:hAnsi="Verdana"/>
                  <w:sz w:val="16"/>
                </w:rPr>
                <w:t>Loga ke stažení</w:t>
              </w:r>
            </w:hyperlink>
          </w:p>
          <w:p w14:paraId="2D784830" w14:textId="77777777" w:rsidR="00166494" w:rsidRPr="009C5A9F" w:rsidRDefault="00166494" w:rsidP="00C63A3C">
            <w:pPr>
              <w:pStyle w:val="Zpat"/>
              <w:spacing w:after="240"/>
              <w:jc w:val="both"/>
              <w:rPr>
                <w:rFonts w:ascii="Verdana" w:hAnsi="Verdana"/>
                <w:sz w:val="16"/>
              </w:rPr>
            </w:pPr>
            <w:hyperlink r:id="rId11" w:history="1">
              <w:r w:rsidRPr="009C5A9F">
                <w:rPr>
                  <w:rStyle w:val="Hypertextovodkaz"/>
                  <w:rFonts w:ascii="Verdana" w:hAnsi="Verdana"/>
                  <w:sz w:val="16"/>
                </w:rPr>
                <w:t>Obecné fotografie</w:t>
              </w:r>
            </w:hyperlink>
          </w:p>
          <w:p w14:paraId="7A76238A" w14:textId="77777777" w:rsidR="00166494" w:rsidRPr="009C5A9F" w:rsidRDefault="00166494" w:rsidP="00C63A3C">
            <w:pPr>
              <w:pStyle w:val="Zpat"/>
              <w:spacing w:after="240"/>
              <w:rPr>
                <w:rFonts w:ascii="Verdana" w:hAnsi="Verdana"/>
                <w:sz w:val="16"/>
              </w:rPr>
            </w:pPr>
            <w:r w:rsidRPr="009C5A9F">
              <w:rPr>
                <w:rFonts w:ascii="Verdana" w:hAnsi="Verdana"/>
                <w:sz w:val="16"/>
              </w:rPr>
              <w:t>Název společnosti píšeme velkými písmeny a neskloňujeme.</w:t>
            </w:r>
          </w:p>
          <w:p w14:paraId="213E57A0" w14:textId="77777777" w:rsidR="00166494" w:rsidRPr="009C5A9F" w:rsidRDefault="00166494" w:rsidP="00C63A3C">
            <w:pPr>
              <w:pStyle w:val="Zpat"/>
              <w:spacing w:after="240"/>
              <w:rPr>
                <w:rFonts w:ascii="Verdana" w:hAnsi="Verdana"/>
                <w:sz w:val="16"/>
              </w:rPr>
            </w:pPr>
            <w:r w:rsidRPr="009C5A9F">
              <w:rPr>
                <w:rFonts w:ascii="Verdana" w:hAnsi="Verdana"/>
                <w:sz w:val="16"/>
              </w:rPr>
              <w:t>Vyslovujeme [CYRRUS].</w:t>
            </w:r>
          </w:p>
          <w:p w14:paraId="6FB45D94" w14:textId="77777777" w:rsidR="00166494" w:rsidRPr="009C5A9F" w:rsidRDefault="00166494" w:rsidP="00C63A3C">
            <w:pPr>
              <w:pStyle w:val="Zpat"/>
              <w:jc w:val="both"/>
              <w:rPr>
                <w:rFonts w:ascii="Verdana" w:hAnsi="Verdana"/>
                <w:sz w:val="16"/>
              </w:rPr>
            </w:pPr>
            <w:hyperlink r:id="rId12" w:history="1">
              <w:r w:rsidRPr="009C5A9F">
                <w:rPr>
                  <w:rStyle w:val="Hypertextovodkaz"/>
                  <w:rFonts w:ascii="Verdana" w:hAnsi="Verdana"/>
                  <w:sz w:val="16"/>
                </w:rPr>
                <w:t>WWW.CYRRUS.CZ</w:t>
              </w:r>
            </w:hyperlink>
          </w:p>
        </w:tc>
        <w:tc>
          <w:tcPr>
            <w:tcW w:w="4167" w:type="dxa"/>
          </w:tcPr>
          <w:p w14:paraId="7576E967" w14:textId="77777777" w:rsidR="00166494" w:rsidRPr="009C5A9F" w:rsidRDefault="00166494" w:rsidP="00C63A3C">
            <w:pPr>
              <w:pStyle w:val="Zpat"/>
              <w:jc w:val="center"/>
              <w:rPr>
                <w:rFonts w:ascii="Verdana" w:hAnsi="Verdana"/>
              </w:rPr>
            </w:pPr>
            <w:r w:rsidRPr="009C5A9F">
              <w:rPr>
                <w:rFonts w:ascii="Verdana" w:hAnsi="Verdana"/>
                <w:noProof/>
                <w:lang w:eastAsia="cs-CZ"/>
              </w:rPr>
              <w:drawing>
                <wp:inline distT="0" distB="0" distL="0" distR="0" wp14:anchorId="324CE04C" wp14:editId="4A458253">
                  <wp:extent cx="1136488" cy="1136488"/>
                  <wp:effectExtent l="0" t="0" r="6985" b="6985"/>
                  <wp:docPr id="876" name="Obrázek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4167" w:type="dxa"/>
          </w:tcPr>
          <w:p w14:paraId="07D66F34" w14:textId="77777777" w:rsidR="00166494" w:rsidRPr="009C5A9F" w:rsidRDefault="00166494" w:rsidP="00C63A3C">
            <w:pPr>
              <w:pStyle w:val="Zpat"/>
              <w:jc w:val="center"/>
              <w:rPr>
                <w:rFonts w:ascii="Verdana" w:hAnsi="Verdana"/>
              </w:rPr>
            </w:pPr>
            <w:r w:rsidRPr="009C5A9F">
              <w:rPr>
                <w:rFonts w:ascii="Verdana" w:hAnsi="Verdana"/>
                <w:noProof/>
                <w:lang w:eastAsia="cs-CZ"/>
              </w:rPr>
              <w:drawing>
                <wp:inline distT="0" distB="0" distL="0" distR="0" wp14:anchorId="2C6ABD72" wp14:editId="15F29303">
                  <wp:extent cx="1136488" cy="1136488"/>
                  <wp:effectExtent l="0" t="0" r="6985" b="6985"/>
                  <wp:docPr id="878" name="Obrázek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r>
      <w:tr w:rsidR="00166494" w:rsidRPr="009C5A9F" w14:paraId="48F9130E" w14:textId="77777777" w:rsidTr="00166494">
        <w:tc>
          <w:tcPr>
            <w:tcW w:w="2122" w:type="dxa"/>
            <w:vMerge/>
          </w:tcPr>
          <w:p w14:paraId="43FB5B8C" w14:textId="77777777" w:rsidR="00166494" w:rsidRPr="009C5A9F" w:rsidRDefault="00166494" w:rsidP="00C63A3C">
            <w:pPr>
              <w:pStyle w:val="Zpat"/>
              <w:jc w:val="both"/>
              <w:rPr>
                <w:rFonts w:ascii="Verdana" w:hAnsi="Verdana"/>
              </w:rPr>
            </w:pPr>
          </w:p>
        </w:tc>
        <w:tc>
          <w:tcPr>
            <w:tcW w:w="4167" w:type="dxa"/>
          </w:tcPr>
          <w:p w14:paraId="1CF3D35E" w14:textId="77777777" w:rsidR="00166494" w:rsidRPr="009C5A9F" w:rsidRDefault="00166494" w:rsidP="00842547">
            <w:pPr>
              <w:pStyle w:val="Zpat"/>
              <w:jc w:val="center"/>
              <w:rPr>
                <w:rFonts w:ascii="Verdana" w:hAnsi="Verdana"/>
                <w:b/>
              </w:rPr>
            </w:pPr>
            <w:r w:rsidRPr="009C5A9F">
              <w:rPr>
                <w:rFonts w:ascii="Verdana" w:hAnsi="Verdana"/>
                <w:b/>
              </w:rPr>
              <w:t>Vít Hradil</w:t>
            </w:r>
          </w:p>
          <w:p w14:paraId="510077E4" w14:textId="77777777" w:rsidR="00166494" w:rsidRPr="009C5A9F" w:rsidRDefault="00166494" w:rsidP="00842547">
            <w:pPr>
              <w:pStyle w:val="Zpat"/>
              <w:spacing w:after="240"/>
              <w:jc w:val="center"/>
              <w:rPr>
                <w:rFonts w:ascii="Verdana" w:hAnsi="Verdana"/>
                <w:sz w:val="14"/>
              </w:rPr>
            </w:pPr>
            <w:r w:rsidRPr="009C5A9F">
              <w:rPr>
                <w:rFonts w:ascii="Verdana" w:hAnsi="Verdana"/>
                <w:sz w:val="14"/>
              </w:rPr>
              <w:t>Hlavní ekonom CYRRUS</w:t>
            </w:r>
          </w:p>
        </w:tc>
        <w:tc>
          <w:tcPr>
            <w:tcW w:w="4167" w:type="dxa"/>
          </w:tcPr>
          <w:p w14:paraId="56F6D264" w14:textId="77777777" w:rsidR="00166494" w:rsidRPr="009C5A9F" w:rsidRDefault="00166494" w:rsidP="00842547">
            <w:pPr>
              <w:pStyle w:val="Zpat"/>
              <w:jc w:val="center"/>
              <w:rPr>
                <w:rFonts w:ascii="Verdana" w:hAnsi="Verdana"/>
                <w:b/>
              </w:rPr>
            </w:pPr>
            <w:r w:rsidRPr="009C5A9F">
              <w:rPr>
                <w:rFonts w:ascii="Verdana" w:hAnsi="Verdana"/>
                <w:b/>
              </w:rPr>
              <w:t>Tomáš Pfeiler, CFA</w:t>
            </w:r>
          </w:p>
          <w:p w14:paraId="55F23C1D" w14:textId="77777777" w:rsidR="00166494" w:rsidRPr="009C5A9F" w:rsidRDefault="00166494" w:rsidP="00842547">
            <w:pPr>
              <w:pStyle w:val="Zpat"/>
              <w:jc w:val="center"/>
              <w:rPr>
                <w:rFonts w:ascii="Verdana" w:hAnsi="Verdana"/>
              </w:rPr>
            </w:pPr>
            <w:r w:rsidRPr="009C5A9F">
              <w:rPr>
                <w:rFonts w:ascii="Verdana" w:hAnsi="Verdana"/>
                <w:sz w:val="14"/>
              </w:rPr>
              <w:t>Portfolio manažer CYRRUS</w:t>
            </w:r>
          </w:p>
        </w:tc>
      </w:tr>
      <w:tr w:rsidR="00166494" w:rsidRPr="009C5A9F" w14:paraId="1A2E2D0F" w14:textId="77777777" w:rsidTr="00166494">
        <w:tc>
          <w:tcPr>
            <w:tcW w:w="2122" w:type="dxa"/>
            <w:vMerge/>
          </w:tcPr>
          <w:p w14:paraId="165CD6DB" w14:textId="77777777" w:rsidR="00166494" w:rsidRPr="009C5A9F" w:rsidRDefault="00166494" w:rsidP="00C63A3C">
            <w:pPr>
              <w:pStyle w:val="Zpat"/>
              <w:jc w:val="both"/>
              <w:rPr>
                <w:rFonts w:ascii="Verdana" w:hAnsi="Verdana"/>
              </w:rPr>
            </w:pPr>
          </w:p>
        </w:tc>
        <w:tc>
          <w:tcPr>
            <w:tcW w:w="4167" w:type="dxa"/>
          </w:tcPr>
          <w:p w14:paraId="02AB5013" w14:textId="77777777" w:rsidR="00166494" w:rsidRPr="009C5A9F" w:rsidRDefault="00166494" w:rsidP="00C63A3C">
            <w:pPr>
              <w:jc w:val="center"/>
              <w:rPr>
                <w:rFonts w:ascii="Verdana" w:hAnsi="Verdana"/>
                <w:sz w:val="16"/>
              </w:rPr>
            </w:pPr>
            <w:r w:rsidRPr="009C5A9F">
              <w:rPr>
                <w:rFonts w:ascii="Verdana" w:hAnsi="Verdana"/>
                <w:sz w:val="16"/>
              </w:rPr>
              <w:t>277 021 816</w:t>
            </w:r>
            <w:r w:rsidRPr="009C5A9F">
              <w:rPr>
                <w:rFonts w:ascii="Verdana" w:hAnsi="Verdana"/>
                <w:sz w:val="16"/>
              </w:rPr>
              <w:br/>
              <w:t>vit.hradil@cyrrus.cz</w:t>
            </w:r>
          </w:p>
        </w:tc>
        <w:tc>
          <w:tcPr>
            <w:tcW w:w="4167" w:type="dxa"/>
          </w:tcPr>
          <w:p w14:paraId="035CCCEC" w14:textId="77777777" w:rsidR="00166494" w:rsidRPr="009C5A9F" w:rsidRDefault="00166494" w:rsidP="00C63A3C">
            <w:pPr>
              <w:pStyle w:val="Zpat"/>
              <w:jc w:val="center"/>
              <w:rPr>
                <w:rFonts w:ascii="Verdana" w:hAnsi="Verdana"/>
              </w:rPr>
            </w:pPr>
            <w:r w:rsidRPr="009C5A9F">
              <w:rPr>
                <w:rFonts w:ascii="Verdana" w:hAnsi="Verdana"/>
                <w:sz w:val="16"/>
              </w:rPr>
              <w:t>277 021 819</w:t>
            </w:r>
            <w:r w:rsidRPr="009C5A9F">
              <w:rPr>
                <w:rFonts w:ascii="Verdana" w:hAnsi="Verdana"/>
                <w:sz w:val="16"/>
              </w:rPr>
              <w:br/>
              <w:t>tomas.pfeiler@cyrrus.cz</w:t>
            </w:r>
          </w:p>
        </w:tc>
      </w:tr>
      <w:tr w:rsidR="00166494" w:rsidRPr="009C5A9F" w14:paraId="613B12CB" w14:textId="77777777" w:rsidTr="00166494">
        <w:trPr>
          <w:trHeight w:val="480"/>
        </w:trPr>
        <w:tc>
          <w:tcPr>
            <w:tcW w:w="2122" w:type="dxa"/>
            <w:vMerge/>
          </w:tcPr>
          <w:p w14:paraId="7883490E" w14:textId="77777777" w:rsidR="00166494" w:rsidRPr="009C5A9F" w:rsidRDefault="00166494" w:rsidP="00C63A3C">
            <w:pPr>
              <w:pStyle w:val="Zpat"/>
              <w:jc w:val="both"/>
              <w:rPr>
                <w:rFonts w:ascii="Verdana" w:hAnsi="Verdana"/>
              </w:rPr>
            </w:pPr>
          </w:p>
        </w:tc>
        <w:tc>
          <w:tcPr>
            <w:tcW w:w="4167" w:type="dxa"/>
            <w:vAlign w:val="center"/>
          </w:tcPr>
          <w:p w14:paraId="5F96A1B7" w14:textId="77777777" w:rsidR="00166494" w:rsidRPr="009C5A9F" w:rsidRDefault="00166494" w:rsidP="00C63A3C">
            <w:pPr>
              <w:jc w:val="center"/>
              <w:rPr>
                <w:rFonts w:ascii="Verdana" w:hAnsi="Verdana"/>
                <w:sz w:val="16"/>
              </w:rPr>
            </w:pPr>
            <w:hyperlink r:id="rId15" w:history="1">
              <w:r w:rsidRPr="009C5A9F">
                <w:rPr>
                  <w:rStyle w:val="Hypertextovodkaz"/>
                  <w:rFonts w:ascii="Verdana" w:hAnsi="Verdana"/>
                  <w:sz w:val="16"/>
                </w:rPr>
                <w:t>Fotografie</w:t>
              </w:r>
            </w:hyperlink>
          </w:p>
        </w:tc>
        <w:tc>
          <w:tcPr>
            <w:tcW w:w="4167" w:type="dxa"/>
            <w:vAlign w:val="center"/>
          </w:tcPr>
          <w:p w14:paraId="563F9B71" w14:textId="77777777" w:rsidR="00166494" w:rsidRPr="009C5A9F" w:rsidRDefault="00166494" w:rsidP="00C63A3C">
            <w:pPr>
              <w:pStyle w:val="Zpat"/>
              <w:jc w:val="center"/>
              <w:rPr>
                <w:rFonts w:ascii="Verdana" w:hAnsi="Verdana"/>
                <w:sz w:val="16"/>
              </w:rPr>
            </w:pPr>
            <w:hyperlink r:id="rId16" w:history="1">
              <w:r w:rsidRPr="009C5A9F">
                <w:rPr>
                  <w:rStyle w:val="Hypertextovodkaz"/>
                  <w:rFonts w:ascii="Verdana" w:hAnsi="Verdana"/>
                  <w:sz w:val="16"/>
                </w:rPr>
                <w:t>Fotografie</w:t>
              </w:r>
            </w:hyperlink>
          </w:p>
        </w:tc>
      </w:tr>
    </w:tbl>
    <w:p w14:paraId="639F3B86" w14:textId="3634DEB7" w:rsidR="00D64538"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 xml:space="preserve">Uzávěrka statistických dat: </w:t>
      </w:r>
      <w:r w:rsidR="00B0141D">
        <w:rPr>
          <w:rFonts w:ascii="Verdana" w:hAnsi="Verdana"/>
          <w:sz w:val="16"/>
          <w:szCs w:val="16"/>
          <w:lang w:eastAsia="cs-CZ"/>
        </w:rPr>
        <w:t>1</w:t>
      </w:r>
      <w:r w:rsidR="009E4E88">
        <w:rPr>
          <w:rFonts w:ascii="Verdana" w:hAnsi="Verdana"/>
          <w:sz w:val="16"/>
          <w:szCs w:val="16"/>
          <w:lang w:eastAsia="cs-CZ"/>
        </w:rPr>
        <w:t>5</w:t>
      </w:r>
      <w:r w:rsidR="00364C7F">
        <w:rPr>
          <w:rFonts w:ascii="Verdana" w:hAnsi="Verdana"/>
          <w:sz w:val="16"/>
          <w:szCs w:val="16"/>
          <w:lang w:eastAsia="cs-CZ"/>
        </w:rPr>
        <w:t>.</w:t>
      </w:r>
      <w:r w:rsidR="00B0141D">
        <w:rPr>
          <w:rFonts w:ascii="Verdana" w:hAnsi="Verdana"/>
          <w:sz w:val="16"/>
          <w:szCs w:val="16"/>
          <w:lang w:eastAsia="cs-CZ"/>
        </w:rPr>
        <w:t>10</w:t>
      </w:r>
      <w:r w:rsidRPr="009C5A9F">
        <w:rPr>
          <w:rFonts w:ascii="Verdana" w:hAnsi="Verdana"/>
          <w:sz w:val="16"/>
          <w:szCs w:val="16"/>
          <w:lang w:eastAsia="cs-CZ"/>
        </w:rPr>
        <w:t>.202</w:t>
      </w:r>
      <w:r w:rsidR="009E4E88">
        <w:rPr>
          <w:rFonts w:ascii="Verdana" w:hAnsi="Verdana"/>
          <w:sz w:val="16"/>
          <w:szCs w:val="16"/>
          <w:lang w:eastAsia="cs-CZ"/>
        </w:rPr>
        <w:t>4</w:t>
      </w:r>
    </w:p>
    <w:p w14:paraId="3F01DD86" w14:textId="77777777" w:rsidR="00C63A3C" w:rsidRPr="009C5A9F" w:rsidRDefault="00C63A3C" w:rsidP="00D64538">
      <w:pPr>
        <w:spacing w:line="360" w:lineRule="auto"/>
        <w:jc w:val="both"/>
        <w:rPr>
          <w:rFonts w:ascii="Verdana" w:hAnsi="Verdana"/>
          <w:sz w:val="16"/>
          <w:szCs w:val="16"/>
          <w:lang w:eastAsia="cs-CZ"/>
        </w:rPr>
      </w:pPr>
    </w:p>
    <w:sectPr w:rsidR="00C63A3C" w:rsidRPr="009C5A9F" w:rsidSect="006A0D7B">
      <w:pgSz w:w="11906" w:h="16838"/>
      <w:pgMar w:top="720" w:right="720" w:bottom="1701" w:left="720"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3950E" w14:textId="77777777" w:rsidR="004224DC" w:rsidRDefault="004224DC" w:rsidP="00605702">
      <w:pPr>
        <w:spacing w:after="0" w:line="240" w:lineRule="auto"/>
      </w:pPr>
      <w:r>
        <w:separator/>
      </w:r>
    </w:p>
  </w:endnote>
  <w:endnote w:type="continuationSeparator" w:id="0">
    <w:p w14:paraId="48A26118" w14:textId="77777777" w:rsidR="004224DC" w:rsidRDefault="004224DC"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Text">
    <w:altName w:val="Arial"/>
    <w:panose1 w:val="00000000000000000000"/>
    <w:charset w:val="00"/>
    <w:family w:val="modern"/>
    <w:notTrueType/>
    <w:pitch w:val="variable"/>
    <w:sig w:usb0="80000207" w:usb1="00000073" w:usb2="00000000" w:usb3="00000000" w:csb0="00000097"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Nexa Extra Bold">
    <w:altName w:val="Arial"/>
    <w:panose1 w:val="00000000000000000000"/>
    <w:charset w:val="00"/>
    <w:family w:val="modern"/>
    <w:notTrueType/>
    <w:pitch w:val="variable"/>
    <w:sig w:usb0="80000207" w:usb1="00000073" w:usb2="00000000" w:usb3="00000000" w:csb0="000000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rPr>
      <w:id w:val="-975989515"/>
      <w:docPartObj>
        <w:docPartGallery w:val="Page Numbers (Bottom of Page)"/>
        <w:docPartUnique/>
      </w:docPartObj>
    </w:sdtPr>
    <w:sdtContent>
      <w:p w14:paraId="24489106" w14:textId="265282C7" w:rsidR="00330297" w:rsidRPr="004C02B7" w:rsidRDefault="00330297">
        <w:pPr>
          <w:pStyle w:val="Zpat"/>
          <w:jc w:val="center"/>
          <w:rPr>
            <w:rFonts w:ascii="Verdana" w:hAnsi="Verdana"/>
          </w:rPr>
        </w:pPr>
        <w:r w:rsidRPr="004C02B7">
          <w:rPr>
            <w:rFonts w:ascii="Verdana" w:hAnsi="Verdana"/>
          </w:rPr>
          <w:fldChar w:fldCharType="begin"/>
        </w:r>
        <w:r w:rsidRPr="004C02B7">
          <w:rPr>
            <w:rFonts w:ascii="Verdana" w:hAnsi="Verdana"/>
          </w:rPr>
          <w:instrText>PAGE   \* MERGEFORMAT</w:instrText>
        </w:r>
        <w:r w:rsidRPr="004C02B7">
          <w:rPr>
            <w:rFonts w:ascii="Verdana" w:hAnsi="Verdana"/>
          </w:rPr>
          <w:fldChar w:fldCharType="separate"/>
        </w:r>
        <w:r w:rsidR="00166494">
          <w:rPr>
            <w:rFonts w:ascii="Verdana" w:hAnsi="Verdana"/>
            <w:noProof/>
          </w:rPr>
          <w:t>2</w:t>
        </w:r>
        <w:r w:rsidRPr="004C02B7">
          <w:rPr>
            <w:rFonts w:ascii="Verdana" w:hAnsi="Verdana"/>
          </w:rPr>
          <w:fldChar w:fldCharType="end"/>
        </w:r>
      </w:p>
    </w:sdtContent>
  </w:sdt>
  <w:p w14:paraId="32F92566" w14:textId="77777777" w:rsidR="00330297" w:rsidRPr="004C02B7" w:rsidRDefault="00330297">
    <w:pPr>
      <w:pStyle w:val="Zpa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9D688" w14:textId="77777777" w:rsidR="004224DC" w:rsidRDefault="004224DC" w:rsidP="00605702">
      <w:pPr>
        <w:spacing w:after="0" w:line="240" w:lineRule="auto"/>
      </w:pPr>
      <w:r>
        <w:separator/>
      </w:r>
    </w:p>
  </w:footnote>
  <w:footnote w:type="continuationSeparator" w:id="0">
    <w:p w14:paraId="576C9FB4" w14:textId="77777777" w:rsidR="004224DC" w:rsidRDefault="004224DC" w:rsidP="0060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5421" w14:textId="1BFA9995" w:rsidR="00330297" w:rsidRPr="006A0D7B" w:rsidRDefault="00330297" w:rsidP="00E63AFF">
    <w:pPr>
      <w:pStyle w:val="Nadpis1"/>
      <w:rPr>
        <w:rFonts w:ascii="Verdana" w:eastAsiaTheme="minorHAnsi" w:hAnsi="Verdana" w:cs="Arial"/>
        <w:color w:val="FFC832"/>
        <w:sz w:val="36"/>
        <w:szCs w:val="36"/>
      </w:rPr>
    </w:pPr>
    <w:r w:rsidRPr="004874EA">
      <w:rPr>
        <w:rFonts w:ascii="Verdana" w:hAnsi="Verdana"/>
        <w:noProof/>
      </w:rPr>
      <w:drawing>
        <wp:anchor distT="0" distB="0" distL="114300" distR="114300" simplePos="0" relativeHeight="251657216" behindDoc="1" locked="0" layoutInCell="1" allowOverlap="1" wp14:anchorId="46188CC1" wp14:editId="36DCB240">
          <wp:simplePos x="0" y="0"/>
          <wp:positionH relativeFrom="column">
            <wp:posOffset>5199380</wp:posOffset>
          </wp:positionH>
          <wp:positionV relativeFrom="paragraph">
            <wp:posOffset>10795</wp:posOffset>
          </wp:positionV>
          <wp:extent cx="1553919" cy="300424"/>
          <wp:effectExtent l="0" t="0" r="8255" b="444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Pr="004874EA">
      <w:rPr>
        <w:rFonts w:ascii="Verdana" w:eastAsiaTheme="minorHAnsi" w:hAnsi="Verdana" w:cs="Arial"/>
        <w:color w:val="FFC832"/>
        <w:sz w:val="36"/>
        <w:szCs w:val="36"/>
      </w:rPr>
      <w:t>Analýza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0ED1"/>
    <w:multiLevelType w:val="hybridMultilevel"/>
    <w:tmpl w:val="A6385672"/>
    <w:lvl w:ilvl="0" w:tplc="C4B02354">
      <w:start w:val="19"/>
      <w:numFmt w:val="decimal"/>
      <w:lvlText w:val="%1"/>
      <w:lvlJc w:val="left"/>
      <w:pPr>
        <w:ind w:left="720" w:hanging="360"/>
      </w:pPr>
      <w:rPr>
        <w:rFonts w:ascii="Calibri" w:hAnsi="Calibri" w:cs="Calibri"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89A339D"/>
    <w:multiLevelType w:val="hybridMultilevel"/>
    <w:tmpl w:val="1474F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93EAF"/>
    <w:multiLevelType w:val="hybridMultilevel"/>
    <w:tmpl w:val="5FC21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9373C"/>
    <w:multiLevelType w:val="hybridMultilevel"/>
    <w:tmpl w:val="909C32B0"/>
    <w:lvl w:ilvl="0" w:tplc="DF0698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FA3E07"/>
    <w:multiLevelType w:val="hybridMultilevel"/>
    <w:tmpl w:val="C6C8585E"/>
    <w:lvl w:ilvl="0" w:tplc="EB769EC0">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51293"/>
    <w:multiLevelType w:val="hybridMultilevel"/>
    <w:tmpl w:val="6718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F61C8C"/>
    <w:multiLevelType w:val="hybridMultilevel"/>
    <w:tmpl w:val="9F1EB58C"/>
    <w:lvl w:ilvl="0" w:tplc="F8045EB4">
      <w:start w:val="2"/>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570E07"/>
    <w:multiLevelType w:val="hybridMultilevel"/>
    <w:tmpl w:val="92C2BF96"/>
    <w:lvl w:ilvl="0" w:tplc="9E8E5604">
      <w:start w:val="1"/>
      <w:numFmt w:val="bullet"/>
      <w:lvlText w:val=""/>
      <w:lvlJc w:val="left"/>
      <w:pPr>
        <w:ind w:left="72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E96336"/>
    <w:multiLevelType w:val="hybridMultilevel"/>
    <w:tmpl w:val="1474F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F674E"/>
    <w:multiLevelType w:val="hybridMultilevel"/>
    <w:tmpl w:val="DF5206E0"/>
    <w:lvl w:ilvl="0" w:tplc="5D12D01E">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5A45D9"/>
    <w:multiLevelType w:val="hybridMultilevel"/>
    <w:tmpl w:val="ABC8919C"/>
    <w:lvl w:ilvl="0" w:tplc="36861C36">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602D9A"/>
    <w:multiLevelType w:val="hybridMultilevel"/>
    <w:tmpl w:val="0EB815B8"/>
    <w:lvl w:ilvl="0" w:tplc="6E6233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C57D6"/>
    <w:multiLevelType w:val="hybridMultilevel"/>
    <w:tmpl w:val="635AD884"/>
    <w:lvl w:ilvl="0" w:tplc="54B05ED4">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AB13F3"/>
    <w:multiLevelType w:val="hybridMultilevel"/>
    <w:tmpl w:val="5622AA30"/>
    <w:lvl w:ilvl="0" w:tplc="04050011">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2919250">
    <w:abstractNumId w:val="11"/>
  </w:num>
  <w:num w:numId="2" w16cid:durableId="127018772">
    <w:abstractNumId w:val="17"/>
  </w:num>
  <w:num w:numId="3" w16cid:durableId="1967006433">
    <w:abstractNumId w:val="16"/>
  </w:num>
  <w:num w:numId="4" w16cid:durableId="2079087965">
    <w:abstractNumId w:val="1"/>
  </w:num>
  <w:num w:numId="5" w16cid:durableId="807166778">
    <w:abstractNumId w:val="14"/>
  </w:num>
  <w:num w:numId="6" w16cid:durableId="998925681">
    <w:abstractNumId w:val="12"/>
  </w:num>
  <w:num w:numId="7" w16cid:durableId="966276018">
    <w:abstractNumId w:val="5"/>
  </w:num>
  <w:num w:numId="8" w16cid:durableId="461923063">
    <w:abstractNumId w:val="6"/>
  </w:num>
  <w:num w:numId="9" w16cid:durableId="1816218912">
    <w:abstractNumId w:val="8"/>
  </w:num>
  <w:num w:numId="10" w16cid:durableId="1985505916">
    <w:abstractNumId w:val="10"/>
  </w:num>
  <w:num w:numId="11" w16cid:durableId="1987272398">
    <w:abstractNumId w:val="9"/>
  </w:num>
  <w:num w:numId="12" w16cid:durableId="1490318517">
    <w:abstractNumId w:val="15"/>
  </w:num>
  <w:num w:numId="13" w16cid:durableId="2058161280">
    <w:abstractNumId w:val="2"/>
  </w:num>
  <w:num w:numId="14" w16cid:durableId="944727526">
    <w:abstractNumId w:val="0"/>
  </w:num>
  <w:num w:numId="15" w16cid:durableId="1550724188">
    <w:abstractNumId w:val="18"/>
  </w:num>
  <w:num w:numId="16" w16cid:durableId="1152596846">
    <w:abstractNumId w:val="3"/>
  </w:num>
  <w:num w:numId="17" w16cid:durableId="1765104979">
    <w:abstractNumId w:val="4"/>
  </w:num>
  <w:num w:numId="18" w16cid:durableId="1534225983">
    <w:abstractNumId w:val="13"/>
  </w:num>
  <w:num w:numId="19" w16cid:durableId="1346901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DE"/>
    <w:rsid w:val="00006EDB"/>
    <w:rsid w:val="00021FFE"/>
    <w:rsid w:val="00025647"/>
    <w:rsid w:val="00025B8E"/>
    <w:rsid w:val="000362FE"/>
    <w:rsid w:val="0004396C"/>
    <w:rsid w:val="000463AA"/>
    <w:rsid w:val="00050675"/>
    <w:rsid w:val="000516C4"/>
    <w:rsid w:val="00054CFF"/>
    <w:rsid w:val="00060AD9"/>
    <w:rsid w:val="000703B2"/>
    <w:rsid w:val="000740C8"/>
    <w:rsid w:val="00080328"/>
    <w:rsid w:val="00080862"/>
    <w:rsid w:val="000A03F9"/>
    <w:rsid w:val="000A13FB"/>
    <w:rsid w:val="000A2BD4"/>
    <w:rsid w:val="000A4CDF"/>
    <w:rsid w:val="000A76A2"/>
    <w:rsid w:val="000B40A8"/>
    <w:rsid w:val="000B5FCC"/>
    <w:rsid w:val="000B7462"/>
    <w:rsid w:val="000C7EC4"/>
    <w:rsid w:val="000E2216"/>
    <w:rsid w:val="000E4833"/>
    <w:rsid w:val="000E7350"/>
    <w:rsid w:val="000F003F"/>
    <w:rsid w:val="000F0494"/>
    <w:rsid w:val="000F0A0B"/>
    <w:rsid w:val="000F1556"/>
    <w:rsid w:val="00105262"/>
    <w:rsid w:val="00105F42"/>
    <w:rsid w:val="0010615E"/>
    <w:rsid w:val="001074FB"/>
    <w:rsid w:val="00107B7C"/>
    <w:rsid w:val="00112B06"/>
    <w:rsid w:val="00113A53"/>
    <w:rsid w:val="00120019"/>
    <w:rsid w:val="00126815"/>
    <w:rsid w:val="00132B08"/>
    <w:rsid w:val="00132FF3"/>
    <w:rsid w:val="00136672"/>
    <w:rsid w:val="00152759"/>
    <w:rsid w:val="001624B3"/>
    <w:rsid w:val="001638F0"/>
    <w:rsid w:val="0016562E"/>
    <w:rsid w:val="00166494"/>
    <w:rsid w:val="0018494C"/>
    <w:rsid w:val="001A3BF8"/>
    <w:rsid w:val="001B0CDB"/>
    <w:rsid w:val="001B5AA0"/>
    <w:rsid w:val="001C1CA8"/>
    <w:rsid w:val="001C649B"/>
    <w:rsid w:val="001C718D"/>
    <w:rsid w:val="001D211F"/>
    <w:rsid w:val="001D426E"/>
    <w:rsid w:val="001E1615"/>
    <w:rsid w:val="001E6C3E"/>
    <w:rsid w:val="001E6E62"/>
    <w:rsid w:val="00202AC7"/>
    <w:rsid w:val="002030DE"/>
    <w:rsid w:val="00205EC9"/>
    <w:rsid w:val="002067BB"/>
    <w:rsid w:val="00211D28"/>
    <w:rsid w:val="00212218"/>
    <w:rsid w:val="00213745"/>
    <w:rsid w:val="0021570E"/>
    <w:rsid w:val="00216737"/>
    <w:rsid w:val="00223171"/>
    <w:rsid w:val="002238AD"/>
    <w:rsid w:val="00224113"/>
    <w:rsid w:val="00224765"/>
    <w:rsid w:val="00225720"/>
    <w:rsid w:val="00226584"/>
    <w:rsid w:val="00233F18"/>
    <w:rsid w:val="0023536F"/>
    <w:rsid w:val="00237318"/>
    <w:rsid w:val="002518E5"/>
    <w:rsid w:val="00253EBB"/>
    <w:rsid w:val="00257481"/>
    <w:rsid w:val="002601EF"/>
    <w:rsid w:val="00261B03"/>
    <w:rsid w:val="00265FCD"/>
    <w:rsid w:val="002760ED"/>
    <w:rsid w:val="0027787B"/>
    <w:rsid w:val="00281EE0"/>
    <w:rsid w:val="002857A3"/>
    <w:rsid w:val="00290770"/>
    <w:rsid w:val="00295B81"/>
    <w:rsid w:val="00297B6D"/>
    <w:rsid w:val="002A5F0B"/>
    <w:rsid w:val="002B3AA3"/>
    <w:rsid w:val="002B3F70"/>
    <w:rsid w:val="002B48CC"/>
    <w:rsid w:val="002B4F00"/>
    <w:rsid w:val="002C1A8D"/>
    <w:rsid w:val="002C43A1"/>
    <w:rsid w:val="002D0788"/>
    <w:rsid w:val="002D3F8A"/>
    <w:rsid w:val="002E222D"/>
    <w:rsid w:val="002F06B0"/>
    <w:rsid w:val="002F3A57"/>
    <w:rsid w:val="002F7416"/>
    <w:rsid w:val="002F759E"/>
    <w:rsid w:val="00303103"/>
    <w:rsid w:val="003103C7"/>
    <w:rsid w:val="00311BBC"/>
    <w:rsid w:val="00311C73"/>
    <w:rsid w:val="00314B23"/>
    <w:rsid w:val="00315366"/>
    <w:rsid w:val="00317CC4"/>
    <w:rsid w:val="00320A11"/>
    <w:rsid w:val="00324D55"/>
    <w:rsid w:val="00330297"/>
    <w:rsid w:val="003303FC"/>
    <w:rsid w:val="00331927"/>
    <w:rsid w:val="00332635"/>
    <w:rsid w:val="00336DF1"/>
    <w:rsid w:val="00343C11"/>
    <w:rsid w:val="003630E6"/>
    <w:rsid w:val="00364C2D"/>
    <w:rsid w:val="00364C7F"/>
    <w:rsid w:val="00367AB0"/>
    <w:rsid w:val="00374DBE"/>
    <w:rsid w:val="00381E65"/>
    <w:rsid w:val="003838B3"/>
    <w:rsid w:val="00393C79"/>
    <w:rsid w:val="003961A5"/>
    <w:rsid w:val="003A1C1C"/>
    <w:rsid w:val="003A3E9A"/>
    <w:rsid w:val="003A580C"/>
    <w:rsid w:val="003B0F0D"/>
    <w:rsid w:val="003B61CA"/>
    <w:rsid w:val="003B6D90"/>
    <w:rsid w:val="003C4956"/>
    <w:rsid w:val="003C7EC0"/>
    <w:rsid w:val="003F1F5C"/>
    <w:rsid w:val="003F206E"/>
    <w:rsid w:val="003F72AE"/>
    <w:rsid w:val="0040454A"/>
    <w:rsid w:val="00410909"/>
    <w:rsid w:val="004129FA"/>
    <w:rsid w:val="00417717"/>
    <w:rsid w:val="00420747"/>
    <w:rsid w:val="00421537"/>
    <w:rsid w:val="00421D5F"/>
    <w:rsid w:val="004224DC"/>
    <w:rsid w:val="00422F7C"/>
    <w:rsid w:val="00424B24"/>
    <w:rsid w:val="0044369C"/>
    <w:rsid w:val="004457D9"/>
    <w:rsid w:val="00461831"/>
    <w:rsid w:val="00470B3A"/>
    <w:rsid w:val="00475AB1"/>
    <w:rsid w:val="00483608"/>
    <w:rsid w:val="004874EA"/>
    <w:rsid w:val="004928ED"/>
    <w:rsid w:val="00495056"/>
    <w:rsid w:val="004A53F4"/>
    <w:rsid w:val="004B4A3F"/>
    <w:rsid w:val="004C02B7"/>
    <w:rsid w:val="004C433E"/>
    <w:rsid w:val="004C5C4B"/>
    <w:rsid w:val="004C781F"/>
    <w:rsid w:val="004D344F"/>
    <w:rsid w:val="004F0295"/>
    <w:rsid w:val="0050473F"/>
    <w:rsid w:val="00511D6F"/>
    <w:rsid w:val="00512185"/>
    <w:rsid w:val="005141FC"/>
    <w:rsid w:val="00520695"/>
    <w:rsid w:val="005228AC"/>
    <w:rsid w:val="00524F63"/>
    <w:rsid w:val="00535AF7"/>
    <w:rsid w:val="00545860"/>
    <w:rsid w:val="005553CC"/>
    <w:rsid w:val="005657D9"/>
    <w:rsid w:val="005701D0"/>
    <w:rsid w:val="00576CC1"/>
    <w:rsid w:val="00580347"/>
    <w:rsid w:val="0059171F"/>
    <w:rsid w:val="00593E70"/>
    <w:rsid w:val="005A0757"/>
    <w:rsid w:val="005B15ED"/>
    <w:rsid w:val="005B5EEB"/>
    <w:rsid w:val="005C3BFC"/>
    <w:rsid w:val="005F0C9A"/>
    <w:rsid w:val="00600BF6"/>
    <w:rsid w:val="006040EA"/>
    <w:rsid w:val="00605702"/>
    <w:rsid w:val="00606E76"/>
    <w:rsid w:val="00607F26"/>
    <w:rsid w:val="00620CC1"/>
    <w:rsid w:val="0063356F"/>
    <w:rsid w:val="0064000F"/>
    <w:rsid w:val="00640C91"/>
    <w:rsid w:val="006462C9"/>
    <w:rsid w:val="0064695A"/>
    <w:rsid w:val="00647CBF"/>
    <w:rsid w:val="0065500F"/>
    <w:rsid w:val="0065552E"/>
    <w:rsid w:val="006560F4"/>
    <w:rsid w:val="006634EC"/>
    <w:rsid w:val="006642B2"/>
    <w:rsid w:val="00665FC3"/>
    <w:rsid w:val="00671096"/>
    <w:rsid w:val="00684DDF"/>
    <w:rsid w:val="00685B93"/>
    <w:rsid w:val="00687909"/>
    <w:rsid w:val="006A0D7B"/>
    <w:rsid w:val="006A36C1"/>
    <w:rsid w:val="006A4BCD"/>
    <w:rsid w:val="006B0018"/>
    <w:rsid w:val="006B0B8C"/>
    <w:rsid w:val="006B2C9D"/>
    <w:rsid w:val="006B330E"/>
    <w:rsid w:val="006B4745"/>
    <w:rsid w:val="006C15F8"/>
    <w:rsid w:val="006C1BCE"/>
    <w:rsid w:val="006E18FA"/>
    <w:rsid w:val="006E55CA"/>
    <w:rsid w:val="006E6736"/>
    <w:rsid w:val="006F2AF4"/>
    <w:rsid w:val="006F35C7"/>
    <w:rsid w:val="007020FE"/>
    <w:rsid w:val="00702923"/>
    <w:rsid w:val="00715F4D"/>
    <w:rsid w:val="00723AF2"/>
    <w:rsid w:val="00723F0C"/>
    <w:rsid w:val="00724EB5"/>
    <w:rsid w:val="00743DDD"/>
    <w:rsid w:val="007541E2"/>
    <w:rsid w:val="00754FD0"/>
    <w:rsid w:val="00757DD8"/>
    <w:rsid w:val="007644BC"/>
    <w:rsid w:val="0077048A"/>
    <w:rsid w:val="00776B31"/>
    <w:rsid w:val="00776D65"/>
    <w:rsid w:val="00781BAF"/>
    <w:rsid w:val="00783DEA"/>
    <w:rsid w:val="007851C0"/>
    <w:rsid w:val="00792E2A"/>
    <w:rsid w:val="007A024E"/>
    <w:rsid w:val="007A04CF"/>
    <w:rsid w:val="007A209B"/>
    <w:rsid w:val="007A3190"/>
    <w:rsid w:val="007B2C97"/>
    <w:rsid w:val="007C2F6E"/>
    <w:rsid w:val="007C32BA"/>
    <w:rsid w:val="007C7E62"/>
    <w:rsid w:val="007D2B7C"/>
    <w:rsid w:val="007D2C90"/>
    <w:rsid w:val="007D4394"/>
    <w:rsid w:val="007D70DD"/>
    <w:rsid w:val="007E58EA"/>
    <w:rsid w:val="007E6A43"/>
    <w:rsid w:val="007F0B04"/>
    <w:rsid w:val="007F2B6D"/>
    <w:rsid w:val="007F4FFC"/>
    <w:rsid w:val="0080343F"/>
    <w:rsid w:val="0080693F"/>
    <w:rsid w:val="008076BE"/>
    <w:rsid w:val="008125F8"/>
    <w:rsid w:val="00815E01"/>
    <w:rsid w:val="00820A7E"/>
    <w:rsid w:val="008274D4"/>
    <w:rsid w:val="00830520"/>
    <w:rsid w:val="00842547"/>
    <w:rsid w:val="00857CD9"/>
    <w:rsid w:val="00863144"/>
    <w:rsid w:val="008658F1"/>
    <w:rsid w:val="00865C22"/>
    <w:rsid w:val="00872F87"/>
    <w:rsid w:val="00877D76"/>
    <w:rsid w:val="00893B70"/>
    <w:rsid w:val="008969A5"/>
    <w:rsid w:val="008A0F57"/>
    <w:rsid w:val="008A5174"/>
    <w:rsid w:val="008B02AC"/>
    <w:rsid w:val="008B1E2B"/>
    <w:rsid w:val="008B489C"/>
    <w:rsid w:val="008C090A"/>
    <w:rsid w:val="008C11D4"/>
    <w:rsid w:val="008C15D9"/>
    <w:rsid w:val="008D183F"/>
    <w:rsid w:val="008D212B"/>
    <w:rsid w:val="008D657D"/>
    <w:rsid w:val="008E5D93"/>
    <w:rsid w:val="008E612B"/>
    <w:rsid w:val="009045C2"/>
    <w:rsid w:val="00904DAA"/>
    <w:rsid w:val="00906AF7"/>
    <w:rsid w:val="0091267A"/>
    <w:rsid w:val="00920450"/>
    <w:rsid w:val="009257A9"/>
    <w:rsid w:val="00925BF7"/>
    <w:rsid w:val="00926383"/>
    <w:rsid w:val="00926BE1"/>
    <w:rsid w:val="009270C2"/>
    <w:rsid w:val="00930CA3"/>
    <w:rsid w:val="00941305"/>
    <w:rsid w:val="00941FBD"/>
    <w:rsid w:val="00951B9A"/>
    <w:rsid w:val="00972402"/>
    <w:rsid w:val="009745D7"/>
    <w:rsid w:val="009751FB"/>
    <w:rsid w:val="00980DB9"/>
    <w:rsid w:val="0098311D"/>
    <w:rsid w:val="0098560E"/>
    <w:rsid w:val="009856FF"/>
    <w:rsid w:val="0098643E"/>
    <w:rsid w:val="009876B8"/>
    <w:rsid w:val="0099354B"/>
    <w:rsid w:val="00993D93"/>
    <w:rsid w:val="00997F5C"/>
    <w:rsid w:val="009A1CD3"/>
    <w:rsid w:val="009B20B1"/>
    <w:rsid w:val="009B2D00"/>
    <w:rsid w:val="009B326D"/>
    <w:rsid w:val="009B5949"/>
    <w:rsid w:val="009B595B"/>
    <w:rsid w:val="009C5A9F"/>
    <w:rsid w:val="009C5E04"/>
    <w:rsid w:val="009D0819"/>
    <w:rsid w:val="009D4FCD"/>
    <w:rsid w:val="009E4E88"/>
    <w:rsid w:val="009F1029"/>
    <w:rsid w:val="00A03B09"/>
    <w:rsid w:val="00A06C99"/>
    <w:rsid w:val="00A07CB4"/>
    <w:rsid w:val="00A208AC"/>
    <w:rsid w:val="00A236E5"/>
    <w:rsid w:val="00A23DFF"/>
    <w:rsid w:val="00A33605"/>
    <w:rsid w:val="00A42961"/>
    <w:rsid w:val="00A435FF"/>
    <w:rsid w:val="00A44949"/>
    <w:rsid w:val="00A47FAA"/>
    <w:rsid w:val="00A54C52"/>
    <w:rsid w:val="00A56B04"/>
    <w:rsid w:val="00A574B8"/>
    <w:rsid w:val="00A6080B"/>
    <w:rsid w:val="00A63F7C"/>
    <w:rsid w:val="00A6787C"/>
    <w:rsid w:val="00A75A3C"/>
    <w:rsid w:val="00A808C4"/>
    <w:rsid w:val="00A81BE9"/>
    <w:rsid w:val="00A81E49"/>
    <w:rsid w:val="00A909D9"/>
    <w:rsid w:val="00A90E95"/>
    <w:rsid w:val="00A928E2"/>
    <w:rsid w:val="00A940BF"/>
    <w:rsid w:val="00AA34C0"/>
    <w:rsid w:val="00AA40B7"/>
    <w:rsid w:val="00AB1AB4"/>
    <w:rsid w:val="00AB1EE7"/>
    <w:rsid w:val="00AB3771"/>
    <w:rsid w:val="00AB59D1"/>
    <w:rsid w:val="00AB6C13"/>
    <w:rsid w:val="00AC1328"/>
    <w:rsid w:val="00AC1BED"/>
    <w:rsid w:val="00AD3F63"/>
    <w:rsid w:val="00AD7FAD"/>
    <w:rsid w:val="00AE2F60"/>
    <w:rsid w:val="00AE41EF"/>
    <w:rsid w:val="00AE6810"/>
    <w:rsid w:val="00B0141D"/>
    <w:rsid w:val="00B03155"/>
    <w:rsid w:val="00B13000"/>
    <w:rsid w:val="00B142EB"/>
    <w:rsid w:val="00B15547"/>
    <w:rsid w:val="00B17EF6"/>
    <w:rsid w:val="00B30D9F"/>
    <w:rsid w:val="00B3223B"/>
    <w:rsid w:val="00B333BC"/>
    <w:rsid w:val="00B348F4"/>
    <w:rsid w:val="00B43054"/>
    <w:rsid w:val="00B43FDE"/>
    <w:rsid w:val="00B5330E"/>
    <w:rsid w:val="00B5366B"/>
    <w:rsid w:val="00B53907"/>
    <w:rsid w:val="00B55853"/>
    <w:rsid w:val="00B60F41"/>
    <w:rsid w:val="00B700F2"/>
    <w:rsid w:val="00B71A42"/>
    <w:rsid w:val="00B72B91"/>
    <w:rsid w:val="00B809D6"/>
    <w:rsid w:val="00B812F5"/>
    <w:rsid w:val="00B82807"/>
    <w:rsid w:val="00B86933"/>
    <w:rsid w:val="00B91CD9"/>
    <w:rsid w:val="00B94416"/>
    <w:rsid w:val="00B95FFB"/>
    <w:rsid w:val="00B960CE"/>
    <w:rsid w:val="00B960D4"/>
    <w:rsid w:val="00BA68E7"/>
    <w:rsid w:val="00BC1CD2"/>
    <w:rsid w:val="00BD2D44"/>
    <w:rsid w:val="00BF0523"/>
    <w:rsid w:val="00BF0647"/>
    <w:rsid w:val="00BF3436"/>
    <w:rsid w:val="00BF6FE0"/>
    <w:rsid w:val="00C11428"/>
    <w:rsid w:val="00C12E92"/>
    <w:rsid w:val="00C229A9"/>
    <w:rsid w:val="00C27147"/>
    <w:rsid w:val="00C36E42"/>
    <w:rsid w:val="00C44373"/>
    <w:rsid w:val="00C4736C"/>
    <w:rsid w:val="00C537B8"/>
    <w:rsid w:val="00C55EAB"/>
    <w:rsid w:val="00C63A3C"/>
    <w:rsid w:val="00C71BA5"/>
    <w:rsid w:val="00C732BA"/>
    <w:rsid w:val="00C756E6"/>
    <w:rsid w:val="00C81A45"/>
    <w:rsid w:val="00C82E0C"/>
    <w:rsid w:val="00C8580B"/>
    <w:rsid w:val="00C90383"/>
    <w:rsid w:val="00C90AFF"/>
    <w:rsid w:val="00CA0914"/>
    <w:rsid w:val="00CA22CA"/>
    <w:rsid w:val="00CA4224"/>
    <w:rsid w:val="00CB0113"/>
    <w:rsid w:val="00CB6F69"/>
    <w:rsid w:val="00CC169C"/>
    <w:rsid w:val="00CC2321"/>
    <w:rsid w:val="00CC323B"/>
    <w:rsid w:val="00CC7DB7"/>
    <w:rsid w:val="00CC7F0F"/>
    <w:rsid w:val="00CD6427"/>
    <w:rsid w:val="00CE494E"/>
    <w:rsid w:val="00CE5822"/>
    <w:rsid w:val="00CF010E"/>
    <w:rsid w:val="00CF6C4A"/>
    <w:rsid w:val="00D01AF2"/>
    <w:rsid w:val="00D01EA4"/>
    <w:rsid w:val="00D03598"/>
    <w:rsid w:val="00D03FBE"/>
    <w:rsid w:val="00D10C5E"/>
    <w:rsid w:val="00D15F9C"/>
    <w:rsid w:val="00D24789"/>
    <w:rsid w:val="00D4618A"/>
    <w:rsid w:val="00D54491"/>
    <w:rsid w:val="00D5715D"/>
    <w:rsid w:val="00D64538"/>
    <w:rsid w:val="00D911D9"/>
    <w:rsid w:val="00D915F3"/>
    <w:rsid w:val="00D93C41"/>
    <w:rsid w:val="00D97558"/>
    <w:rsid w:val="00D97EC9"/>
    <w:rsid w:val="00DA0755"/>
    <w:rsid w:val="00DA62B6"/>
    <w:rsid w:val="00DB5359"/>
    <w:rsid w:val="00DB543C"/>
    <w:rsid w:val="00DD3177"/>
    <w:rsid w:val="00DD72D3"/>
    <w:rsid w:val="00DE0EDC"/>
    <w:rsid w:val="00DE1105"/>
    <w:rsid w:val="00DE6035"/>
    <w:rsid w:val="00DF0EDF"/>
    <w:rsid w:val="00DF1381"/>
    <w:rsid w:val="00DF1CC1"/>
    <w:rsid w:val="00E05B51"/>
    <w:rsid w:val="00E11679"/>
    <w:rsid w:val="00E13091"/>
    <w:rsid w:val="00E16B15"/>
    <w:rsid w:val="00E2486F"/>
    <w:rsid w:val="00E25928"/>
    <w:rsid w:val="00E3241B"/>
    <w:rsid w:val="00E35270"/>
    <w:rsid w:val="00E4423E"/>
    <w:rsid w:val="00E56E92"/>
    <w:rsid w:val="00E57F22"/>
    <w:rsid w:val="00E63AFF"/>
    <w:rsid w:val="00E66F9E"/>
    <w:rsid w:val="00E71371"/>
    <w:rsid w:val="00E73D70"/>
    <w:rsid w:val="00E80C93"/>
    <w:rsid w:val="00E94448"/>
    <w:rsid w:val="00EB0100"/>
    <w:rsid w:val="00EB1EA7"/>
    <w:rsid w:val="00ED4C3B"/>
    <w:rsid w:val="00EE7AA6"/>
    <w:rsid w:val="00F02181"/>
    <w:rsid w:val="00F20A90"/>
    <w:rsid w:val="00F265B2"/>
    <w:rsid w:val="00F271FF"/>
    <w:rsid w:val="00F272C2"/>
    <w:rsid w:val="00F31081"/>
    <w:rsid w:val="00F320A4"/>
    <w:rsid w:val="00F401F5"/>
    <w:rsid w:val="00F406E5"/>
    <w:rsid w:val="00F41E87"/>
    <w:rsid w:val="00F50ABB"/>
    <w:rsid w:val="00F60197"/>
    <w:rsid w:val="00F62A58"/>
    <w:rsid w:val="00F6458F"/>
    <w:rsid w:val="00F6491C"/>
    <w:rsid w:val="00F70750"/>
    <w:rsid w:val="00F7260B"/>
    <w:rsid w:val="00F7795C"/>
    <w:rsid w:val="00F8603F"/>
    <w:rsid w:val="00F914E0"/>
    <w:rsid w:val="00F96A09"/>
    <w:rsid w:val="00FA1023"/>
    <w:rsid w:val="00FA32EB"/>
    <w:rsid w:val="00FA3652"/>
    <w:rsid w:val="00FB571B"/>
    <w:rsid w:val="00FB7BEC"/>
    <w:rsid w:val="00FC295D"/>
    <w:rsid w:val="00FC485F"/>
    <w:rsid w:val="00FC6F2E"/>
    <w:rsid w:val="00FD5B70"/>
    <w:rsid w:val="00FD71AB"/>
    <w:rsid w:val="00FE1608"/>
    <w:rsid w:val="00FE1E22"/>
    <w:rsid w:val="00FF0C0D"/>
    <w:rsid w:val="00FF27AA"/>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BF2C"/>
  <w15:chartTrackingRefBased/>
  <w15:docId w15:val="{FD9B89A7-1E5E-4865-9E37-354F124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737"/>
    <w:rPr>
      <w:sz w:val="18"/>
    </w:rPr>
  </w:style>
  <w:style w:type="paragraph" w:styleId="Nadpis1">
    <w:name w:val="heading 1"/>
    <w:basedOn w:val="Normln"/>
    <w:link w:val="Nadpis1Char"/>
    <w:uiPriority w:val="9"/>
    <w:qFormat/>
    <w:rsid w:val="00AB1AB4"/>
    <w:pPr>
      <w:spacing w:before="100" w:beforeAutospacing="1" w:after="100" w:afterAutospacing="1" w:line="240" w:lineRule="auto"/>
      <w:outlineLvl w:val="0"/>
    </w:pPr>
    <w:rPr>
      <w:rFonts w:asciiTheme="majorHAnsi" w:eastAsia="Times New Roman" w:hAnsiTheme="majorHAnsi" w:cs="Times New Roman"/>
      <w:b/>
      <w:bCs/>
      <w:kern w:val="36"/>
      <w:sz w:val="48"/>
      <w:szCs w:val="48"/>
      <w:lang w:eastAsia="cs-CZ"/>
    </w:rPr>
  </w:style>
  <w:style w:type="paragraph" w:styleId="Nadpis2">
    <w:name w:val="heading 2"/>
    <w:basedOn w:val="Normln"/>
    <w:next w:val="Normln"/>
    <w:link w:val="Nadpis2Char"/>
    <w:uiPriority w:val="9"/>
    <w:unhideWhenUsed/>
    <w:qFormat/>
    <w:rsid w:val="00AB1AB4"/>
    <w:pPr>
      <w:keepNext/>
      <w:keepLines/>
      <w:spacing w:before="40" w:after="0"/>
      <w:outlineLvl w:val="1"/>
    </w:pPr>
    <w:rPr>
      <w:rFonts w:asciiTheme="majorHAnsi" w:eastAsiaTheme="majorEastAsia" w:hAnsiTheme="majorHAnsi" w:cstheme="majorBidi"/>
      <w:sz w:val="32"/>
      <w:szCs w:val="26"/>
    </w:rPr>
  </w:style>
  <w:style w:type="paragraph" w:styleId="Nadpis3">
    <w:name w:val="heading 3"/>
    <w:basedOn w:val="Normln"/>
    <w:next w:val="Normln"/>
    <w:link w:val="Nadpis3Char"/>
    <w:uiPriority w:val="9"/>
    <w:unhideWhenUsed/>
    <w:qFormat/>
    <w:rsid w:val="00AB1AB4"/>
    <w:pPr>
      <w:keepNext/>
      <w:keepLines/>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AB4"/>
    <w:rPr>
      <w:rFonts w:asciiTheme="majorHAnsi" w:eastAsia="Times New Roman" w:hAnsiTheme="majorHAnsi"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776D65"/>
    <w:rPr>
      <w:b/>
      <w:bCs/>
    </w:rPr>
  </w:style>
  <w:style w:type="character" w:customStyle="1" w:styleId="Nadpis2Char">
    <w:name w:val="Nadpis 2 Char"/>
    <w:basedOn w:val="Standardnpsmoodstavce"/>
    <w:link w:val="Nadpis2"/>
    <w:uiPriority w:val="9"/>
    <w:rsid w:val="00AB1AB4"/>
    <w:rPr>
      <w:rFonts w:asciiTheme="majorHAnsi" w:eastAsiaTheme="majorEastAsia" w:hAnsiTheme="majorHAnsi" w:cstheme="majorBidi"/>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AB1AB4"/>
    <w:rPr>
      <w:rFonts w:asciiTheme="majorHAnsi" w:eastAsiaTheme="majorEastAsia" w:hAnsiTheme="majorHAnsi" w:cstheme="majorBidi"/>
      <w:sz w:val="24"/>
      <w:szCs w:val="24"/>
    </w:rPr>
  </w:style>
  <w:style w:type="paragraph" w:styleId="Bezmezer">
    <w:name w:val="No Spacing"/>
    <w:uiPriority w:val="1"/>
    <w:qFormat/>
    <w:rsid w:val="00DE0EDC"/>
    <w:pPr>
      <w:spacing w:after="0" w:line="240" w:lineRule="auto"/>
    </w:pPr>
    <w:rPr>
      <w:sz w:val="18"/>
    </w:rPr>
  </w:style>
  <w:style w:type="paragraph" w:styleId="Nzev">
    <w:name w:val="Title"/>
    <w:basedOn w:val="Normln"/>
    <w:next w:val="Normln"/>
    <w:link w:val="NzevChar"/>
    <w:uiPriority w:val="10"/>
    <w:qFormat/>
    <w:rsid w:val="00317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CC4"/>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8969A5"/>
    <w:rPr>
      <w:b/>
      <w:bCs/>
      <w:smallCaps/>
      <w:color w:val="F47929" w:themeColor="accent1"/>
      <w:spacing w:val="5"/>
    </w:rPr>
  </w:style>
  <w:style w:type="character" w:styleId="Odkazjemn">
    <w:name w:val="Subtle Reference"/>
    <w:basedOn w:val="Standardnpsmoodstavce"/>
    <w:uiPriority w:val="31"/>
    <w:qFormat/>
    <w:rsid w:val="008969A5"/>
    <w:rPr>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228AC"/>
    <w:rPr>
      <w:sz w:val="16"/>
      <w:szCs w:val="16"/>
    </w:rPr>
  </w:style>
  <w:style w:type="paragraph" w:styleId="Textkomente">
    <w:name w:val="annotation text"/>
    <w:basedOn w:val="Normln"/>
    <w:link w:val="TextkomenteChar"/>
    <w:uiPriority w:val="99"/>
    <w:semiHidden/>
    <w:unhideWhenUsed/>
    <w:rsid w:val="005228AC"/>
    <w:pPr>
      <w:spacing w:line="240" w:lineRule="auto"/>
    </w:pPr>
    <w:rPr>
      <w:sz w:val="20"/>
      <w:szCs w:val="20"/>
    </w:rPr>
  </w:style>
  <w:style w:type="character" w:customStyle="1" w:styleId="TextkomenteChar">
    <w:name w:val="Text komentáře Char"/>
    <w:basedOn w:val="Standardnpsmoodstavce"/>
    <w:link w:val="Textkomente"/>
    <w:uiPriority w:val="99"/>
    <w:semiHidden/>
    <w:rsid w:val="005228AC"/>
    <w:rPr>
      <w:sz w:val="20"/>
      <w:szCs w:val="20"/>
    </w:rPr>
  </w:style>
  <w:style w:type="paragraph" w:styleId="Pedmtkomente">
    <w:name w:val="annotation subject"/>
    <w:basedOn w:val="Textkomente"/>
    <w:next w:val="Textkomente"/>
    <w:link w:val="PedmtkomenteChar"/>
    <w:uiPriority w:val="99"/>
    <w:semiHidden/>
    <w:unhideWhenUsed/>
    <w:rsid w:val="005228AC"/>
    <w:rPr>
      <w:b/>
      <w:bCs/>
    </w:rPr>
  </w:style>
  <w:style w:type="character" w:customStyle="1" w:styleId="PedmtkomenteChar">
    <w:name w:val="Předmět komentáře Char"/>
    <w:basedOn w:val="TextkomenteChar"/>
    <w:link w:val="Pedmtkomente"/>
    <w:uiPriority w:val="99"/>
    <w:semiHidden/>
    <w:rsid w:val="005228AC"/>
    <w:rPr>
      <w:b/>
      <w:bCs/>
      <w:sz w:val="20"/>
      <w:szCs w:val="20"/>
    </w:rPr>
  </w:style>
  <w:style w:type="character" w:customStyle="1" w:styleId="Nevyeenzmnka1">
    <w:name w:val="Nevyřešená zmínka1"/>
    <w:basedOn w:val="Standardnpsmoodstavce"/>
    <w:uiPriority w:val="99"/>
    <w:semiHidden/>
    <w:unhideWhenUsed/>
    <w:rsid w:val="005228AC"/>
    <w:rPr>
      <w:color w:val="605E5C"/>
      <w:shd w:val="clear" w:color="auto" w:fill="E1DFDD"/>
    </w:rPr>
  </w:style>
  <w:style w:type="paragraph" w:styleId="Textbubliny">
    <w:name w:val="Balloon Text"/>
    <w:basedOn w:val="Normln"/>
    <w:link w:val="TextbublinyChar"/>
    <w:uiPriority w:val="99"/>
    <w:semiHidden/>
    <w:unhideWhenUsed/>
    <w:rsid w:val="000F0A0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F0A0B"/>
    <w:rPr>
      <w:rFonts w:ascii="Segoe UI" w:hAnsi="Segoe UI" w:cs="Segoe UI"/>
      <w:sz w:val="18"/>
      <w:szCs w:val="18"/>
    </w:rPr>
  </w:style>
  <w:style w:type="character" w:styleId="Sledovanodkaz">
    <w:name w:val="FollowedHyperlink"/>
    <w:basedOn w:val="Standardnpsmoodstavce"/>
    <w:uiPriority w:val="99"/>
    <w:semiHidden/>
    <w:unhideWhenUsed/>
    <w:rsid w:val="00512185"/>
    <w:rPr>
      <w:color w:val="00284E" w:themeColor="followedHyperlink"/>
      <w:u w:val="single"/>
    </w:rPr>
  </w:style>
  <w:style w:type="paragraph" w:styleId="Revize">
    <w:name w:val="Revision"/>
    <w:hidden/>
    <w:uiPriority w:val="99"/>
    <w:semiHidden/>
    <w:rsid w:val="00842547"/>
    <w:pPr>
      <w:spacing w:after="0" w:line="240" w:lineRule="auto"/>
    </w:pPr>
    <w:rPr>
      <w:sz w:val="18"/>
    </w:rPr>
  </w:style>
  <w:style w:type="paragraph" w:styleId="Textpoznpodarou">
    <w:name w:val="footnote text"/>
    <w:basedOn w:val="Normln"/>
    <w:link w:val="TextpoznpodarouChar"/>
    <w:uiPriority w:val="99"/>
    <w:semiHidden/>
    <w:unhideWhenUsed/>
    <w:rsid w:val="00381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1E65"/>
    <w:rPr>
      <w:sz w:val="20"/>
      <w:szCs w:val="20"/>
    </w:rPr>
  </w:style>
  <w:style w:type="character" w:styleId="Znakapoznpodarou">
    <w:name w:val="footnote reference"/>
    <w:basedOn w:val="Standardnpsmoodstavce"/>
    <w:uiPriority w:val="99"/>
    <w:semiHidden/>
    <w:unhideWhenUsed/>
    <w:rsid w:val="00381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855">
      <w:bodyDiv w:val="1"/>
      <w:marLeft w:val="0"/>
      <w:marRight w:val="0"/>
      <w:marTop w:val="0"/>
      <w:marBottom w:val="0"/>
      <w:divBdr>
        <w:top w:val="none" w:sz="0" w:space="0" w:color="auto"/>
        <w:left w:val="none" w:sz="0" w:space="0" w:color="auto"/>
        <w:bottom w:val="none" w:sz="0" w:space="0" w:color="auto"/>
        <w:right w:val="none" w:sz="0" w:space="0" w:color="auto"/>
      </w:divBdr>
    </w:div>
    <w:div w:id="26640163">
      <w:bodyDiv w:val="1"/>
      <w:marLeft w:val="0"/>
      <w:marRight w:val="0"/>
      <w:marTop w:val="0"/>
      <w:marBottom w:val="0"/>
      <w:divBdr>
        <w:top w:val="none" w:sz="0" w:space="0" w:color="auto"/>
        <w:left w:val="none" w:sz="0" w:space="0" w:color="auto"/>
        <w:bottom w:val="none" w:sz="0" w:space="0" w:color="auto"/>
        <w:right w:val="none" w:sz="0" w:space="0" w:color="auto"/>
      </w:divBdr>
    </w:div>
    <w:div w:id="82142778">
      <w:bodyDiv w:val="1"/>
      <w:marLeft w:val="0"/>
      <w:marRight w:val="0"/>
      <w:marTop w:val="0"/>
      <w:marBottom w:val="0"/>
      <w:divBdr>
        <w:top w:val="none" w:sz="0" w:space="0" w:color="auto"/>
        <w:left w:val="none" w:sz="0" w:space="0" w:color="auto"/>
        <w:bottom w:val="none" w:sz="0" w:space="0" w:color="auto"/>
        <w:right w:val="none" w:sz="0" w:space="0" w:color="auto"/>
      </w:divBdr>
    </w:div>
    <w:div w:id="122382110">
      <w:bodyDiv w:val="1"/>
      <w:marLeft w:val="0"/>
      <w:marRight w:val="0"/>
      <w:marTop w:val="0"/>
      <w:marBottom w:val="0"/>
      <w:divBdr>
        <w:top w:val="none" w:sz="0" w:space="0" w:color="auto"/>
        <w:left w:val="none" w:sz="0" w:space="0" w:color="auto"/>
        <w:bottom w:val="none" w:sz="0" w:space="0" w:color="auto"/>
        <w:right w:val="none" w:sz="0" w:space="0" w:color="auto"/>
      </w:divBdr>
    </w:div>
    <w:div w:id="368340480">
      <w:bodyDiv w:val="1"/>
      <w:marLeft w:val="0"/>
      <w:marRight w:val="0"/>
      <w:marTop w:val="0"/>
      <w:marBottom w:val="0"/>
      <w:divBdr>
        <w:top w:val="none" w:sz="0" w:space="0" w:color="auto"/>
        <w:left w:val="none" w:sz="0" w:space="0" w:color="auto"/>
        <w:bottom w:val="none" w:sz="0" w:space="0" w:color="auto"/>
        <w:right w:val="none" w:sz="0" w:space="0" w:color="auto"/>
      </w:divBdr>
    </w:div>
    <w:div w:id="399792451">
      <w:bodyDiv w:val="1"/>
      <w:marLeft w:val="0"/>
      <w:marRight w:val="0"/>
      <w:marTop w:val="0"/>
      <w:marBottom w:val="0"/>
      <w:divBdr>
        <w:top w:val="none" w:sz="0" w:space="0" w:color="auto"/>
        <w:left w:val="none" w:sz="0" w:space="0" w:color="auto"/>
        <w:bottom w:val="none" w:sz="0" w:space="0" w:color="auto"/>
        <w:right w:val="none" w:sz="0" w:space="0" w:color="auto"/>
      </w:divBdr>
    </w:div>
    <w:div w:id="402610706">
      <w:bodyDiv w:val="1"/>
      <w:marLeft w:val="0"/>
      <w:marRight w:val="0"/>
      <w:marTop w:val="0"/>
      <w:marBottom w:val="0"/>
      <w:divBdr>
        <w:top w:val="none" w:sz="0" w:space="0" w:color="auto"/>
        <w:left w:val="none" w:sz="0" w:space="0" w:color="auto"/>
        <w:bottom w:val="none" w:sz="0" w:space="0" w:color="auto"/>
        <w:right w:val="none" w:sz="0" w:space="0" w:color="auto"/>
      </w:divBdr>
    </w:div>
    <w:div w:id="549658345">
      <w:bodyDiv w:val="1"/>
      <w:marLeft w:val="0"/>
      <w:marRight w:val="0"/>
      <w:marTop w:val="0"/>
      <w:marBottom w:val="0"/>
      <w:divBdr>
        <w:top w:val="none" w:sz="0" w:space="0" w:color="auto"/>
        <w:left w:val="none" w:sz="0" w:space="0" w:color="auto"/>
        <w:bottom w:val="none" w:sz="0" w:space="0" w:color="auto"/>
        <w:right w:val="none" w:sz="0" w:space="0" w:color="auto"/>
      </w:divBdr>
    </w:div>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984623326">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194997379">
      <w:bodyDiv w:val="1"/>
      <w:marLeft w:val="0"/>
      <w:marRight w:val="0"/>
      <w:marTop w:val="0"/>
      <w:marBottom w:val="0"/>
      <w:divBdr>
        <w:top w:val="none" w:sz="0" w:space="0" w:color="auto"/>
        <w:left w:val="none" w:sz="0" w:space="0" w:color="auto"/>
        <w:bottom w:val="none" w:sz="0" w:space="0" w:color="auto"/>
        <w:right w:val="none" w:sz="0" w:space="0" w:color="auto"/>
      </w:divBdr>
    </w:div>
    <w:div w:id="1296450998">
      <w:bodyDiv w:val="1"/>
      <w:marLeft w:val="0"/>
      <w:marRight w:val="0"/>
      <w:marTop w:val="0"/>
      <w:marBottom w:val="0"/>
      <w:divBdr>
        <w:top w:val="none" w:sz="0" w:space="0" w:color="auto"/>
        <w:left w:val="none" w:sz="0" w:space="0" w:color="auto"/>
        <w:bottom w:val="none" w:sz="0" w:space="0" w:color="auto"/>
        <w:right w:val="none" w:sz="0" w:space="0" w:color="auto"/>
      </w:divBdr>
    </w:div>
    <w:div w:id="1356883341">
      <w:bodyDiv w:val="1"/>
      <w:marLeft w:val="0"/>
      <w:marRight w:val="0"/>
      <w:marTop w:val="0"/>
      <w:marBottom w:val="0"/>
      <w:divBdr>
        <w:top w:val="none" w:sz="0" w:space="0" w:color="auto"/>
        <w:left w:val="none" w:sz="0" w:space="0" w:color="auto"/>
        <w:bottom w:val="none" w:sz="0" w:space="0" w:color="auto"/>
        <w:right w:val="none" w:sz="0" w:space="0" w:color="auto"/>
      </w:divBdr>
    </w:div>
    <w:div w:id="1588415125">
      <w:bodyDiv w:val="1"/>
      <w:marLeft w:val="0"/>
      <w:marRight w:val="0"/>
      <w:marTop w:val="0"/>
      <w:marBottom w:val="0"/>
      <w:divBdr>
        <w:top w:val="none" w:sz="0" w:space="0" w:color="auto"/>
        <w:left w:val="none" w:sz="0" w:space="0" w:color="auto"/>
        <w:bottom w:val="none" w:sz="0" w:space="0" w:color="auto"/>
        <w:right w:val="none" w:sz="0" w:space="0" w:color="auto"/>
      </w:divBdr>
    </w:div>
    <w:div w:id="1691561526">
      <w:bodyDiv w:val="1"/>
      <w:marLeft w:val="0"/>
      <w:marRight w:val="0"/>
      <w:marTop w:val="0"/>
      <w:marBottom w:val="0"/>
      <w:divBdr>
        <w:top w:val="none" w:sz="0" w:space="0" w:color="auto"/>
        <w:left w:val="none" w:sz="0" w:space="0" w:color="auto"/>
        <w:bottom w:val="none" w:sz="0" w:space="0" w:color="auto"/>
        <w:right w:val="none" w:sz="0" w:space="0" w:color="auto"/>
      </w:divBdr>
    </w:div>
    <w:div w:id="1727798597">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rru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drive/folders/1Pb9tUOEcdhfonu6zVTjV4m31ie-IyX8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vJynKESL_uoi_KOQQVqono-903qtLnsU?usp=sharing" TargetMode="External"/><Relationship Id="rId5" Type="http://schemas.openxmlformats.org/officeDocument/2006/relationships/webSettings" Target="webSettings.xml"/><Relationship Id="rId15" Type="http://schemas.openxmlformats.org/officeDocument/2006/relationships/hyperlink" Target="https://drive.google.com/drive/folders/1P3hMpirSa6iyRyoOgXS0_zrCmPe6vQtG?usp=sharing" TargetMode="External"/><Relationship Id="rId10" Type="http://schemas.openxmlformats.org/officeDocument/2006/relationships/hyperlink" Target="https://drive.google.com/drive/folders/1gDkeWiLU3qJzaTgRJrZ8pGLI6RAL4CKL?usp=sha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radil\Downloads\CYRRUS-Hlavickovy_papir_2021%20(2).dotx" TargetMode="External"/></Relationships>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CB84-5322-4123-96BB-5F37693E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CYRRUS-Hlavickovy_papir_2021 (2)</Template>
  <TotalTime>2</TotalTime>
  <Pages>7</Pages>
  <Words>2613</Words>
  <Characters>14900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Hradil Vít</dc:creator>
  <cp:keywords/>
  <dc:description/>
  <cp:lastModifiedBy>Petra Kopecká</cp:lastModifiedBy>
  <cp:revision>3</cp:revision>
  <cp:lastPrinted>2024-10-16T13:02:00Z</cp:lastPrinted>
  <dcterms:created xsi:type="dcterms:W3CDTF">2024-10-16T13:02:00Z</dcterms:created>
  <dcterms:modified xsi:type="dcterms:W3CDTF">2024-10-17T07:20:00Z</dcterms:modified>
</cp:coreProperties>
</file>