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FB04" w14:textId="7CD53634" w:rsidR="00132B08" w:rsidRPr="009C5A9F" w:rsidRDefault="00A56B04" w:rsidP="00132B08">
      <w:pPr>
        <w:pStyle w:val="Nadpis1"/>
        <w:jc w:val="both"/>
        <w:rPr>
          <w:rFonts w:ascii="Verdana" w:hAnsi="Verdana"/>
          <w:sz w:val="28"/>
          <w:szCs w:val="28"/>
        </w:rPr>
      </w:pPr>
      <w:r w:rsidRPr="009C5A9F">
        <w:rPr>
          <w:rFonts w:ascii="Verdana" w:hAnsi="Verdana"/>
          <w:noProof/>
          <w:sz w:val="28"/>
          <w:szCs w:val="28"/>
        </w:rPr>
        <mc:AlternateContent>
          <mc:Choice Requires="wps">
            <w:drawing>
              <wp:anchor distT="45720" distB="107950" distL="114300" distR="114300" simplePos="0" relativeHeight="251596800" behindDoc="0" locked="0" layoutInCell="1" allowOverlap="1" wp14:anchorId="7037499E" wp14:editId="219316C0">
                <wp:simplePos x="0" y="0"/>
                <wp:positionH relativeFrom="margin">
                  <wp:align>left</wp:align>
                </wp:positionH>
                <wp:positionV relativeFrom="paragraph">
                  <wp:posOffset>357505</wp:posOffset>
                </wp:positionV>
                <wp:extent cx="3084830" cy="2941320"/>
                <wp:effectExtent l="0" t="0" r="127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2941320"/>
                        </a:xfrm>
                        <a:prstGeom prst="rect">
                          <a:avLst/>
                        </a:prstGeom>
                        <a:gradFill flip="none" rotWithShape="1">
                          <a:gsLst>
                            <a:gs pos="0">
                              <a:srgbClr val="FFC832"/>
                            </a:gs>
                            <a:gs pos="100000">
                              <a:srgbClr val="FFD82C">
                                <a:alpha val="15000"/>
                              </a:srgbClr>
                            </a:gs>
                          </a:gsLst>
                          <a:lin ang="18900000" scaled="1"/>
                          <a:tileRect/>
                        </a:gradFill>
                        <a:ln w="3175" cap="flat">
                          <a:noFill/>
                          <a:miter lim="800000"/>
                          <a:headEnd/>
                          <a:tailEnd/>
                        </a:ln>
                      </wps:spPr>
                      <wps:txbx>
                        <w:txbxContent>
                          <w:p w14:paraId="08E6E989" w14:textId="668DA0F8" w:rsidR="00606E76" w:rsidRDefault="002069B1" w:rsidP="00C80395">
                            <w:pPr>
                              <w:pStyle w:val="Odstavecseseznamem"/>
                              <w:numPr>
                                <w:ilvl w:val="0"/>
                                <w:numId w:val="10"/>
                              </w:numPr>
                              <w:spacing w:line="300" w:lineRule="auto"/>
                              <w:contextualSpacing w:val="0"/>
                              <w:jc w:val="both"/>
                              <w:rPr>
                                <w:rFonts w:ascii="Verdana" w:hAnsi="Verdana"/>
                                <w:sz w:val="20"/>
                              </w:rPr>
                            </w:pPr>
                            <w:r>
                              <w:rPr>
                                <w:rFonts w:ascii="Verdana" w:hAnsi="Verdana"/>
                                <w:sz w:val="20"/>
                              </w:rPr>
                              <w:t>Vládní konsolidační balíček si klade za cíl ušetřit v roce 2024 až 97,7 mld. Kč</w:t>
                            </w:r>
                          </w:p>
                          <w:p w14:paraId="62653816" w14:textId="17E30580" w:rsidR="002069B1" w:rsidRDefault="002069B1" w:rsidP="00C80395">
                            <w:pPr>
                              <w:pStyle w:val="Odstavecseseznamem"/>
                              <w:numPr>
                                <w:ilvl w:val="0"/>
                                <w:numId w:val="10"/>
                              </w:numPr>
                              <w:spacing w:line="300" w:lineRule="auto"/>
                              <w:contextualSpacing w:val="0"/>
                              <w:jc w:val="both"/>
                              <w:rPr>
                                <w:rFonts w:ascii="Verdana" w:hAnsi="Verdana"/>
                                <w:sz w:val="20"/>
                              </w:rPr>
                            </w:pPr>
                            <w:r>
                              <w:rPr>
                                <w:rFonts w:ascii="Verdana" w:hAnsi="Verdana"/>
                                <w:sz w:val="20"/>
                              </w:rPr>
                              <w:t>Mezi odbornou veřejností převažuje názor, že tyto úspory jsou rozloženy „férově“</w:t>
                            </w:r>
                          </w:p>
                          <w:p w14:paraId="7B56B05A" w14:textId="3AA317EF" w:rsidR="002069B1" w:rsidRDefault="002069B1" w:rsidP="00C80395">
                            <w:pPr>
                              <w:pStyle w:val="Odstavecseseznamem"/>
                              <w:numPr>
                                <w:ilvl w:val="0"/>
                                <w:numId w:val="10"/>
                              </w:numPr>
                              <w:spacing w:line="300" w:lineRule="auto"/>
                              <w:contextualSpacing w:val="0"/>
                              <w:jc w:val="both"/>
                              <w:rPr>
                                <w:rFonts w:ascii="Verdana" w:hAnsi="Verdana"/>
                                <w:sz w:val="20"/>
                              </w:rPr>
                            </w:pPr>
                            <w:r>
                              <w:rPr>
                                <w:rFonts w:ascii="Verdana" w:hAnsi="Verdana"/>
                                <w:sz w:val="20"/>
                              </w:rPr>
                              <w:t>Nedopadají tedy příliš drtivě ani příliš jemně na žádnou konkrétní skupinu obyvatel</w:t>
                            </w:r>
                          </w:p>
                          <w:p w14:paraId="1DD9F39C" w14:textId="1B5993AA" w:rsidR="002069B1" w:rsidRDefault="002069B1" w:rsidP="00C80395">
                            <w:pPr>
                              <w:pStyle w:val="Odstavecseseznamem"/>
                              <w:numPr>
                                <w:ilvl w:val="0"/>
                                <w:numId w:val="10"/>
                              </w:numPr>
                              <w:spacing w:line="300" w:lineRule="auto"/>
                              <w:contextualSpacing w:val="0"/>
                              <w:jc w:val="both"/>
                              <w:rPr>
                                <w:rFonts w:ascii="Verdana" w:hAnsi="Verdana"/>
                                <w:sz w:val="20"/>
                              </w:rPr>
                            </w:pPr>
                            <w:r>
                              <w:rPr>
                                <w:rFonts w:ascii="Verdana" w:hAnsi="Verdana"/>
                                <w:sz w:val="20"/>
                              </w:rPr>
                              <w:t>Zcela „férově“ by na jednoho Čecha připadalo 9296 Kč</w:t>
                            </w:r>
                            <w:r w:rsidR="00057527">
                              <w:rPr>
                                <w:rFonts w:ascii="Verdana" w:hAnsi="Verdana"/>
                                <w:sz w:val="20"/>
                              </w:rPr>
                              <w:t xml:space="preserve"> za rok</w:t>
                            </w:r>
                          </w:p>
                          <w:p w14:paraId="6DF0586F" w14:textId="7AE9E685" w:rsidR="002069B1" w:rsidRPr="002C43A1" w:rsidRDefault="002069B1" w:rsidP="00C80395">
                            <w:pPr>
                              <w:pStyle w:val="Odstavecseseznamem"/>
                              <w:numPr>
                                <w:ilvl w:val="0"/>
                                <w:numId w:val="10"/>
                              </w:numPr>
                              <w:spacing w:line="300" w:lineRule="auto"/>
                              <w:contextualSpacing w:val="0"/>
                              <w:jc w:val="both"/>
                              <w:rPr>
                                <w:rFonts w:ascii="Verdana" w:hAnsi="Verdana"/>
                                <w:sz w:val="20"/>
                              </w:rPr>
                            </w:pPr>
                            <w:r>
                              <w:rPr>
                                <w:rFonts w:ascii="Verdana" w:hAnsi="Verdana"/>
                                <w:sz w:val="20"/>
                              </w:rPr>
                              <w:t>Extrémní smolaři ovšem mohou počítat až s 93 tisíci Kč, naopak šťastlivci na konsolidačním balíčku mohou ušetřit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7499E" id="_x0000_t202" coordsize="21600,21600" o:spt="202" path="m,l,21600r21600,l21600,xe">
                <v:stroke joinstyle="miter"/>
                <v:path gradientshapeok="t" o:connecttype="rect"/>
              </v:shapetype>
              <v:shape id="Textové pole 2" o:spid="_x0000_s1026" type="#_x0000_t202" style="position:absolute;left:0;text-align:left;margin-left:0;margin-top:28.15pt;width:242.9pt;height:231.6pt;z-index:251596800;visibility:visible;mso-wrap-style:square;mso-width-percent:0;mso-height-percent:0;mso-wrap-distance-left:9pt;mso-wrap-distance-top:3.6pt;mso-wrap-distance-right:9pt;mso-wrap-distance-bottom:8.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" fillcolor="#ffc832" stroked="f" strokeweight=".25pt">
                <v:fill color2="#ffd82c" o:opacity2="9830f" rotate="t" angle="135" focus="100%" type="gradient"/>
                <v:textbox>
                  <w:txbxContent>
                    <w:p w14:paraId="08E6E989" w14:textId="668DA0F8" w:rsidR="00606E76" w:rsidRDefault="002069B1" w:rsidP="00C80395">
                      <w:pPr>
                        <w:pStyle w:val="Odstavecseseznamem"/>
                        <w:numPr>
                          <w:ilvl w:val="0"/>
                          <w:numId w:val="10"/>
                        </w:numPr>
                        <w:spacing w:line="300" w:lineRule="auto"/>
                        <w:contextualSpacing w:val="0"/>
                        <w:jc w:val="both"/>
                        <w:rPr>
                          <w:rFonts w:ascii="Verdana" w:hAnsi="Verdana"/>
                          <w:sz w:val="20"/>
                        </w:rPr>
                      </w:pPr>
                      <w:r>
                        <w:rPr>
                          <w:rFonts w:ascii="Verdana" w:hAnsi="Verdana"/>
                          <w:sz w:val="20"/>
                        </w:rPr>
                        <w:t>Vládní konsolidační balíček si klade za cíl ušetřit v roce 2024 až 97,7 mld. Kč</w:t>
                      </w:r>
                    </w:p>
                    <w:p w14:paraId="62653816" w14:textId="17E30580" w:rsidR="002069B1" w:rsidRDefault="002069B1" w:rsidP="00C80395">
                      <w:pPr>
                        <w:pStyle w:val="Odstavecseseznamem"/>
                        <w:numPr>
                          <w:ilvl w:val="0"/>
                          <w:numId w:val="10"/>
                        </w:numPr>
                        <w:spacing w:line="300" w:lineRule="auto"/>
                        <w:contextualSpacing w:val="0"/>
                        <w:jc w:val="both"/>
                        <w:rPr>
                          <w:rFonts w:ascii="Verdana" w:hAnsi="Verdana"/>
                          <w:sz w:val="20"/>
                        </w:rPr>
                      </w:pPr>
                      <w:r>
                        <w:rPr>
                          <w:rFonts w:ascii="Verdana" w:hAnsi="Verdana"/>
                          <w:sz w:val="20"/>
                        </w:rPr>
                        <w:t>Mezi odbornou veřejností převažuje názor, že tyto úspory jsou rozloženy „férově“</w:t>
                      </w:r>
                    </w:p>
                    <w:p w14:paraId="7B56B05A" w14:textId="3AA317EF" w:rsidR="002069B1" w:rsidRDefault="002069B1" w:rsidP="00C80395">
                      <w:pPr>
                        <w:pStyle w:val="Odstavecseseznamem"/>
                        <w:numPr>
                          <w:ilvl w:val="0"/>
                          <w:numId w:val="10"/>
                        </w:numPr>
                        <w:spacing w:line="300" w:lineRule="auto"/>
                        <w:contextualSpacing w:val="0"/>
                        <w:jc w:val="both"/>
                        <w:rPr>
                          <w:rFonts w:ascii="Verdana" w:hAnsi="Verdana"/>
                          <w:sz w:val="20"/>
                        </w:rPr>
                      </w:pPr>
                      <w:r>
                        <w:rPr>
                          <w:rFonts w:ascii="Verdana" w:hAnsi="Verdana"/>
                          <w:sz w:val="20"/>
                        </w:rPr>
                        <w:t>Nedopadají tedy příliš drtivě ani příliš jemně na žádnou konkrétní skupinu obyvatel</w:t>
                      </w:r>
                    </w:p>
                    <w:p w14:paraId="1DD9F39C" w14:textId="1B5993AA" w:rsidR="002069B1" w:rsidRDefault="002069B1" w:rsidP="00C80395">
                      <w:pPr>
                        <w:pStyle w:val="Odstavecseseznamem"/>
                        <w:numPr>
                          <w:ilvl w:val="0"/>
                          <w:numId w:val="10"/>
                        </w:numPr>
                        <w:spacing w:line="300" w:lineRule="auto"/>
                        <w:contextualSpacing w:val="0"/>
                        <w:jc w:val="both"/>
                        <w:rPr>
                          <w:rFonts w:ascii="Verdana" w:hAnsi="Verdana"/>
                          <w:sz w:val="20"/>
                        </w:rPr>
                      </w:pPr>
                      <w:r>
                        <w:rPr>
                          <w:rFonts w:ascii="Verdana" w:hAnsi="Verdana"/>
                          <w:sz w:val="20"/>
                        </w:rPr>
                        <w:t>Zcela „férově“ by na jednoho Čecha připadalo 9296 Kč</w:t>
                      </w:r>
                      <w:r w:rsidR="00057527">
                        <w:rPr>
                          <w:rFonts w:ascii="Verdana" w:hAnsi="Verdana"/>
                          <w:sz w:val="20"/>
                        </w:rPr>
                        <w:t xml:space="preserve"> za rok</w:t>
                      </w:r>
                    </w:p>
                    <w:p w14:paraId="6DF0586F" w14:textId="7AE9E685" w:rsidR="002069B1" w:rsidRPr="002C43A1" w:rsidRDefault="002069B1" w:rsidP="00C80395">
                      <w:pPr>
                        <w:pStyle w:val="Odstavecseseznamem"/>
                        <w:numPr>
                          <w:ilvl w:val="0"/>
                          <w:numId w:val="10"/>
                        </w:numPr>
                        <w:spacing w:line="300" w:lineRule="auto"/>
                        <w:contextualSpacing w:val="0"/>
                        <w:jc w:val="both"/>
                        <w:rPr>
                          <w:rFonts w:ascii="Verdana" w:hAnsi="Verdana"/>
                          <w:sz w:val="20"/>
                        </w:rPr>
                      </w:pPr>
                      <w:r>
                        <w:rPr>
                          <w:rFonts w:ascii="Verdana" w:hAnsi="Verdana"/>
                          <w:sz w:val="20"/>
                        </w:rPr>
                        <w:t>Extrémní smolaři ovšem mohou počítat až s 93 tisíci Kč, naopak šťastlivci na konsolidačním balíčku mohou ušetřit</w:t>
                      </w:r>
                    </w:p>
                  </w:txbxContent>
                </v:textbox>
                <w10:wrap type="square" anchorx="margin"/>
              </v:shape>
            </w:pict>
          </mc:Fallback>
        </mc:AlternateContent>
      </w:r>
      <w:r w:rsidR="00422445">
        <w:rPr>
          <w:rFonts w:ascii="Verdana" w:hAnsi="Verdana"/>
          <w:noProof/>
          <w:sz w:val="28"/>
          <w:szCs w:val="28"/>
        </w:rPr>
        <w:t>Konsolidační smolař</w:t>
      </w:r>
    </w:p>
    <w:p w14:paraId="722A142B" w14:textId="7BF85071" w:rsidR="005841B3" w:rsidRDefault="00422445" w:rsidP="002857A3">
      <w:pPr>
        <w:spacing w:line="360" w:lineRule="auto"/>
        <w:jc w:val="both"/>
        <w:rPr>
          <w:rFonts w:ascii="Verdana" w:hAnsi="Verdana"/>
          <w:sz w:val="20"/>
          <w:szCs w:val="16"/>
          <w:lang w:eastAsia="cs-CZ"/>
        </w:rPr>
      </w:pPr>
      <w:r>
        <w:rPr>
          <w:rFonts w:ascii="Verdana" w:hAnsi="Verdana"/>
          <w:sz w:val="20"/>
          <w:szCs w:val="16"/>
          <w:lang w:eastAsia="cs-CZ"/>
        </w:rPr>
        <w:t xml:space="preserve">Vláda Petra Fialy představila v průběhu roku 2023 sadu rozpočtových opatření, jejichž cílem bylo snížit každoroční stamiliardové deficity státního rozpočtu. Tato opatření, pro něž se vžil název „konsolidační balíček“ zahrnují jak úspory ve výdajích, tak i zvýšení příjmů, přičemž </w:t>
      </w:r>
      <w:r w:rsidRPr="002069B1">
        <w:rPr>
          <w:rFonts w:ascii="Verdana" w:hAnsi="Verdana"/>
          <w:b/>
          <w:sz w:val="20"/>
          <w:szCs w:val="16"/>
          <w:lang w:eastAsia="cs-CZ"/>
        </w:rPr>
        <w:t>jejich souhrnný příznivý dopad na rozpočtovou bilanci by měl v</w:t>
      </w:r>
      <w:r w:rsidR="002069B1">
        <w:rPr>
          <w:rFonts w:ascii="Verdana" w:hAnsi="Verdana"/>
          <w:b/>
          <w:sz w:val="20"/>
          <w:szCs w:val="16"/>
          <w:lang w:eastAsia="cs-CZ"/>
        </w:rPr>
        <w:t> </w:t>
      </w:r>
      <w:r w:rsidRPr="002069B1">
        <w:rPr>
          <w:rFonts w:ascii="Verdana" w:hAnsi="Verdana"/>
          <w:b/>
          <w:sz w:val="20"/>
          <w:szCs w:val="16"/>
          <w:lang w:eastAsia="cs-CZ"/>
        </w:rPr>
        <w:t>roce</w:t>
      </w:r>
      <w:r w:rsidR="002069B1">
        <w:rPr>
          <w:rFonts w:ascii="Verdana" w:hAnsi="Verdana"/>
          <w:b/>
          <w:sz w:val="20"/>
          <w:szCs w:val="16"/>
          <w:lang w:eastAsia="cs-CZ"/>
        </w:rPr>
        <w:t xml:space="preserve"> 2024</w:t>
      </w:r>
      <w:r w:rsidRPr="002069B1">
        <w:rPr>
          <w:rFonts w:ascii="Verdana" w:hAnsi="Verdana"/>
          <w:b/>
          <w:sz w:val="20"/>
          <w:szCs w:val="16"/>
          <w:lang w:eastAsia="cs-CZ"/>
        </w:rPr>
        <w:t xml:space="preserve"> dosáhnout 97,7 miliardy Kč</w:t>
      </w:r>
      <w:r>
        <w:rPr>
          <w:rFonts w:ascii="Verdana" w:hAnsi="Verdana"/>
          <w:sz w:val="20"/>
          <w:szCs w:val="16"/>
          <w:lang w:eastAsia="cs-CZ"/>
        </w:rPr>
        <w:t xml:space="preserve">. </w:t>
      </w:r>
    </w:p>
    <w:p w14:paraId="7083EB18" w14:textId="051B9DC2" w:rsidR="007F2B6D" w:rsidRDefault="00422445" w:rsidP="002857A3">
      <w:pPr>
        <w:spacing w:line="360" w:lineRule="auto"/>
        <w:jc w:val="both"/>
        <w:rPr>
          <w:rFonts w:ascii="Verdana" w:hAnsi="Verdana"/>
          <w:sz w:val="20"/>
          <w:szCs w:val="16"/>
          <w:lang w:eastAsia="cs-CZ"/>
        </w:rPr>
      </w:pPr>
      <w:r>
        <w:rPr>
          <w:rFonts w:ascii="Verdana" w:hAnsi="Verdana"/>
          <w:sz w:val="20"/>
          <w:szCs w:val="16"/>
          <w:lang w:eastAsia="cs-CZ"/>
        </w:rPr>
        <w:t xml:space="preserve">Ačkoliv hodnocení celého balíčku je pochopitelně subjektivní záležitostí a odvíjí se od politických preferencí každého jednotlivce, odborná veřejnost se z velké části shodla minimálně na jedné charakteristice, a to že </w:t>
      </w:r>
      <w:r w:rsidRPr="002069B1">
        <w:rPr>
          <w:rFonts w:ascii="Verdana" w:hAnsi="Verdana"/>
          <w:b/>
          <w:sz w:val="20"/>
          <w:szCs w:val="16"/>
          <w:lang w:eastAsia="cs-CZ"/>
        </w:rPr>
        <w:t>konsolidační balíček je relativně „férový“</w:t>
      </w:r>
      <w:r>
        <w:rPr>
          <w:rFonts w:ascii="Verdana" w:hAnsi="Verdana"/>
          <w:sz w:val="20"/>
          <w:szCs w:val="16"/>
          <w:lang w:eastAsia="cs-CZ"/>
        </w:rPr>
        <w:t>. Tedy že zasahuje prakticky všechny obyvatele</w:t>
      </w:r>
      <w:r w:rsidR="005841B3">
        <w:rPr>
          <w:rFonts w:ascii="Verdana" w:hAnsi="Verdana"/>
          <w:sz w:val="20"/>
          <w:szCs w:val="16"/>
          <w:lang w:eastAsia="cs-CZ"/>
        </w:rPr>
        <w:t xml:space="preserve"> napříč společností a k žádné skupině není přehnaně tvrdý ani shovívavý.</w:t>
      </w:r>
    </w:p>
    <w:p w14:paraId="0F7FC3CB" w14:textId="74E626BB" w:rsidR="005841B3" w:rsidRDefault="005841B3" w:rsidP="002857A3">
      <w:pPr>
        <w:spacing w:line="360" w:lineRule="auto"/>
        <w:jc w:val="both"/>
        <w:rPr>
          <w:rFonts w:ascii="Verdana" w:hAnsi="Verdana"/>
          <w:sz w:val="20"/>
          <w:szCs w:val="16"/>
          <w:lang w:eastAsia="cs-CZ"/>
        </w:rPr>
      </w:pPr>
      <w:r>
        <w:rPr>
          <w:rFonts w:ascii="Verdana" w:hAnsi="Verdana"/>
          <w:sz w:val="20"/>
          <w:szCs w:val="16"/>
          <w:lang w:eastAsia="cs-CZ"/>
        </w:rPr>
        <w:t xml:space="preserve">Pokud by konsolidační balíček teoreticky byl absolutně „férový“, </w:t>
      </w:r>
      <w:r w:rsidRPr="002069B1">
        <w:rPr>
          <w:rFonts w:ascii="Verdana" w:hAnsi="Verdana"/>
          <w:b/>
          <w:sz w:val="20"/>
          <w:szCs w:val="16"/>
          <w:lang w:eastAsia="cs-CZ"/>
        </w:rPr>
        <w:t>pak by příjem každého občana České republiky včetně kojenců připravil o 9296 Kč ročně</w:t>
      </w:r>
      <w:r>
        <w:rPr>
          <w:rFonts w:ascii="Verdana" w:hAnsi="Verdana"/>
          <w:sz w:val="20"/>
          <w:szCs w:val="16"/>
          <w:lang w:eastAsia="cs-CZ"/>
        </w:rPr>
        <w:t xml:space="preserve">. Již z této úvahy je </w:t>
      </w:r>
      <w:r>
        <w:rPr>
          <w:rFonts w:ascii="Verdana" w:hAnsi="Verdana"/>
          <w:sz w:val="20"/>
          <w:szCs w:val="16"/>
          <w:lang w:eastAsia="cs-CZ"/>
        </w:rPr>
        <w:t xml:space="preserve">ovšem zřejmé, že zcela rovnoměrně jeho dopady rozprostřeny být nemohou, jelikož například právě kojenci se na konsolidaci </w:t>
      </w:r>
      <w:r w:rsidR="002069B1">
        <w:rPr>
          <w:rFonts w:ascii="Verdana" w:hAnsi="Verdana"/>
          <w:sz w:val="20"/>
          <w:szCs w:val="16"/>
          <w:lang w:eastAsia="cs-CZ"/>
        </w:rPr>
        <w:t>přímo</w:t>
      </w:r>
      <w:r>
        <w:rPr>
          <w:rFonts w:ascii="Verdana" w:hAnsi="Verdana"/>
          <w:sz w:val="20"/>
          <w:szCs w:val="16"/>
          <w:lang w:eastAsia="cs-CZ"/>
        </w:rPr>
        <w:t xml:space="preserve"> </w:t>
      </w:r>
      <w:r w:rsidR="002069B1">
        <w:rPr>
          <w:rFonts w:ascii="Verdana" w:hAnsi="Verdana"/>
          <w:sz w:val="20"/>
          <w:szCs w:val="16"/>
          <w:lang w:eastAsia="cs-CZ"/>
        </w:rPr>
        <w:t>nepodílejí</w:t>
      </w:r>
      <w:r>
        <w:rPr>
          <w:rFonts w:ascii="Verdana" w:hAnsi="Verdana"/>
          <w:sz w:val="20"/>
          <w:szCs w:val="16"/>
          <w:lang w:eastAsia="cs-CZ"/>
        </w:rPr>
        <w:t xml:space="preserve">. Nakonec tedy přece jen bude u každého jednotlivce záležet na jeho osobních, příjmových či spotřebních charakteristikách. Na modelových příkladech níže ukazujeme, </w:t>
      </w:r>
      <w:r w:rsidRPr="002069B1">
        <w:rPr>
          <w:rFonts w:ascii="Verdana" w:hAnsi="Verdana"/>
          <w:b/>
          <w:sz w:val="20"/>
          <w:szCs w:val="16"/>
          <w:lang w:eastAsia="cs-CZ"/>
        </w:rPr>
        <w:t>jak výrazně se mohou dopady konsolidačního balíčku na jednotlivce lišit v extrémních případech</w:t>
      </w:r>
      <w:r>
        <w:rPr>
          <w:rFonts w:ascii="Verdana" w:hAnsi="Verdana"/>
          <w:sz w:val="20"/>
          <w:szCs w:val="16"/>
          <w:lang w:eastAsia="cs-CZ"/>
        </w:rPr>
        <w:t>.</w:t>
      </w:r>
    </w:p>
    <w:p w14:paraId="2E14D33B" w14:textId="2C3344E4" w:rsidR="00627EAB" w:rsidRDefault="005841B3" w:rsidP="002C1A8D">
      <w:pPr>
        <w:spacing w:line="360" w:lineRule="auto"/>
        <w:jc w:val="both"/>
        <w:rPr>
          <w:rFonts w:ascii="Verdana" w:hAnsi="Verdana"/>
          <w:sz w:val="20"/>
          <w:szCs w:val="16"/>
          <w:lang w:eastAsia="cs-CZ"/>
        </w:rPr>
      </w:pPr>
      <w:r>
        <w:rPr>
          <w:rFonts w:ascii="Verdana" w:hAnsi="Verdana"/>
          <w:sz w:val="20"/>
          <w:szCs w:val="16"/>
          <w:lang w:eastAsia="cs-CZ"/>
        </w:rPr>
        <w:t>Naším prvním příkladem je pan Smutný, který měl tu smůlu, že se jej téměř veškerá vládní úsporná opatření</w:t>
      </w:r>
      <w:r w:rsidRPr="005841B3">
        <w:rPr>
          <w:rFonts w:ascii="Verdana" w:hAnsi="Verdana"/>
          <w:sz w:val="20"/>
          <w:szCs w:val="16"/>
          <w:lang w:eastAsia="cs-CZ"/>
        </w:rPr>
        <w:t xml:space="preserve"> </w:t>
      </w:r>
      <w:r>
        <w:rPr>
          <w:rFonts w:ascii="Verdana" w:hAnsi="Verdana"/>
          <w:sz w:val="20"/>
          <w:szCs w:val="16"/>
          <w:lang w:eastAsia="cs-CZ"/>
        </w:rPr>
        <w:t xml:space="preserve">dotkla s maximální razancí. Pan Smutný si v zaměstnání vydělává 80 tisíc korun měsíčně a v roce 2024 se tedy musí připravit na placení nově zavedeného </w:t>
      </w:r>
      <w:r w:rsidRPr="002069B1">
        <w:rPr>
          <w:rFonts w:ascii="Verdana" w:hAnsi="Verdana"/>
          <w:b/>
          <w:sz w:val="20"/>
          <w:szCs w:val="16"/>
          <w:lang w:eastAsia="cs-CZ"/>
        </w:rPr>
        <w:t>nemocenského pojištění</w:t>
      </w:r>
      <w:r>
        <w:rPr>
          <w:rFonts w:ascii="Verdana" w:hAnsi="Verdana"/>
          <w:sz w:val="20"/>
          <w:szCs w:val="16"/>
          <w:lang w:eastAsia="cs-CZ"/>
        </w:rPr>
        <w:t xml:space="preserve">, které mu za celý rok z výplaty ukousne 5760 Kč. </w:t>
      </w:r>
      <w:r w:rsidR="002E577E">
        <w:rPr>
          <w:rFonts w:ascii="Verdana" w:hAnsi="Verdana"/>
          <w:sz w:val="20"/>
          <w:szCs w:val="16"/>
          <w:lang w:eastAsia="cs-CZ"/>
        </w:rPr>
        <w:t xml:space="preserve">Ještě výrazněji se ovšem změní jeho </w:t>
      </w:r>
      <w:r w:rsidR="002E577E" w:rsidRPr="002069B1">
        <w:rPr>
          <w:rFonts w:ascii="Verdana" w:hAnsi="Verdana"/>
          <w:b/>
          <w:sz w:val="20"/>
          <w:szCs w:val="16"/>
          <w:lang w:eastAsia="cs-CZ"/>
        </w:rPr>
        <w:t>daň z příjmu</w:t>
      </w:r>
      <w:r w:rsidR="002E577E">
        <w:rPr>
          <w:rFonts w:ascii="Verdana" w:hAnsi="Verdana"/>
          <w:sz w:val="20"/>
          <w:szCs w:val="16"/>
          <w:lang w:eastAsia="cs-CZ"/>
        </w:rPr>
        <w:t xml:space="preserve">. Tu mu ještě v minulém roce snižovalo </w:t>
      </w:r>
      <w:r w:rsidR="002E577E" w:rsidRPr="002069B1">
        <w:rPr>
          <w:rFonts w:ascii="Verdana" w:hAnsi="Verdana"/>
          <w:b/>
          <w:sz w:val="20"/>
          <w:szCs w:val="16"/>
          <w:lang w:eastAsia="cs-CZ"/>
        </w:rPr>
        <w:t>školkovné</w:t>
      </w:r>
      <w:r w:rsidR="002E577E">
        <w:rPr>
          <w:rFonts w:ascii="Verdana" w:hAnsi="Verdana"/>
          <w:sz w:val="20"/>
          <w:szCs w:val="16"/>
          <w:lang w:eastAsia="cs-CZ"/>
        </w:rPr>
        <w:t xml:space="preserve"> na staršího syna ve výši 17300 Kč, o které letos přichází. O jeho druhé dítě – tříletou dceru – </w:t>
      </w:r>
      <w:r w:rsidR="002E577E" w:rsidRPr="002069B1">
        <w:rPr>
          <w:rFonts w:ascii="Verdana" w:hAnsi="Verdana"/>
          <w:b/>
          <w:sz w:val="20"/>
          <w:szCs w:val="16"/>
          <w:lang w:eastAsia="cs-CZ"/>
        </w:rPr>
        <w:t>se v domácnosti stará jeho manželka, držitelka průkazu ZTP/P</w:t>
      </w:r>
      <w:r w:rsidR="002E577E">
        <w:rPr>
          <w:rFonts w:ascii="Verdana" w:hAnsi="Verdana"/>
          <w:sz w:val="20"/>
          <w:szCs w:val="16"/>
          <w:lang w:eastAsia="cs-CZ"/>
        </w:rPr>
        <w:t xml:space="preserve">. Díky tomu by ještě před rokem mohl pan Smutný počítat se slevou na dani z příjmu ve výši 49680 Kč ročně, což nyní již neplatí. Rozloučit se bude muset i  </w:t>
      </w:r>
      <w:r w:rsidR="002069B1">
        <w:rPr>
          <w:rFonts w:ascii="Verdana" w:hAnsi="Verdana"/>
          <w:sz w:val="20"/>
          <w:szCs w:val="16"/>
          <w:lang w:eastAsia="cs-CZ"/>
        </w:rPr>
        <w:t xml:space="preserve">s </w:t>
      </w:r>
      <w:r w:rsidR="002E577E">
        <w:rPr>
          <w:rFonts w:ascii="Verdana" w:hAnsi="Verdana"/>
          <w:sz w:val="20"/>
          <w:szCs w:val="16"/>
          <w:lang w:eastAsia="cs-CZ"/>
        </w:rPr>
        <w:t xml:space="preserve">polovinou </w:t>
      </w:r>
      <w:r w:rsidR="002E577E" w:rsidRPr="002069B1">
        <w:rPr>
          <w:rFonts w:ascii="Verdana" w:hAnsi="Verdana"/>
          <w:b/>
          <w:sz w:val="20"/>
          <w:szCs w:val="16"/>
          <w:lang w:eastAsia="cs-CZ"/>
        </w:rPr>
        <w:t>státního příspěvku na jeho stavební spoření</w:t>
      </w:r>
      <w:r w:rsidR="002E577E">
        <w:rPr>
          <w:rFonts w:ascii="Verdana" w:hAnsi="Verdana"/>
          <w:sz w:val="20"/>
          <w:szCs w:val="16"/>
          <w:lang w:eastAsia="cs-CZ"/>
        </w:rPr>
        <w:t xml:space="preserve"> (-1000 Kč ročně). Připlatí si naopak za </w:t>
      </w:r>
      <w:r w:rsidR="002E577E" w:rsidRPr="002069B1">
        <w:rPr>
          <w:rFonts w:ascii="Verdana" w:hAnsi="Verdana"/>
          <w:b/>
          <w:sz w:val="20"/>
          <w:szCs w:val="16"/>
          <w:lang w:eastAsia="cs-CZ"/>
        </w:rPr>
        <w:t xml:space="preserve">dálniční známku </w:t>
      </w:r>
      <w:r w:rsidR="002E577E">
        <w:rPr>
          <w:rFonts w:ascii="Verdana" w:hAnsi="Verdana"/>
          <w:sz w:val="20"/>
          <w:szCs w:val="16"/>
          <w:lang w:eastAsia="cs-CZ"/>
        </w:rPr>
        <w:t xml:space="preserve">(800 Kč ročně) a podstatně dráže jej vyjdou i jeho zlozvyky – </w:t>
      </w:r>
      <w:r w:rsidR="002E577E" w:rsidRPr="002069B1">
        <w:rPr>
          <w:rFonts w:ascii="Verdana" w:hAnsi="Verdana"/>
          <w:b/>
          <w:sz w:val="20"/>
          <w:szCs w:val="16"/>
          <w:lang w:eastAsia="cs-CZ"/>
        </w:rPr>
        <w:t>kouření</w:t>
      </w:r>
      <w:r w:rsidR="002E577E">
        <w:rPr>
          <w:rFonts w:ascii="Verdana" w:hAnsi="Verdana"/>
          <w:sz w:val="20"/>
          <w:szCs w:val="16"/>
          <w:lang w:eastAsia="cs-CZ"/>
        </w:rPr>
        <w:t xml:space="preserve"> a </w:t>
      </w:r>
      <w:r w:rsidR="002E577E" w:rsidRPr="002069B1">
        <w:rPr>
          <w:rFonts w:ascii="Verdana" w:hAnsi="Verdana"/>
          <w:b/>
          <w:sz w:val="20"/>
          <w:szCs w:val="16"/>
          <w:lang w:eastAsia="cs-CZ"/>
        </w:rPr>
        <w:t>popíjení tvrdého alkoholu</w:t>
      </w:r>
      <w:r w:rsidR="002E577E">
        <w:rPr>
          <w:rFonts w:ascii="Verdana" w:hAnsi="Verdana"/>
          <w:sz w:val="20"/>
          <w:szCs w:val="16"/>
          <w:lang w:eastAsia="cs-CZ"/>
        </w:rPr>
        <w:t xml:space="preserve">. </w:t>
      </w:r>
      <w:r w:rsidR="00F55743">
        <w:rPr>
          <w:rFonts w:ascii="Verdana" w:hAnsi="Verdana"/>
          <w:sz w:val="20"/>
          <w:szCs w:val="16"/>
          <w:lang w:eastAsia="cs-CZ"/>
        </w:rPr>
        <w:t xml:space="preserve"> Při spotřebě  jedné krabičky cigaret denně celkem státu na spotřební dani a DPH letos nově odvede o 2190 Kč více   a jeho pravidelná týdenní láhev kořalky se ze stejného důvodu prodraží o 1456 Kč. </w:t>
      </w:r>
      <w:r w:rsidR="001F66E3">
        <w:rPr>
          <w:rFonts w:ascii="Verdana" w:hAnsi="Verdana"/>
          <w:sz w:val="20"/>
          <w:szCs w:val="16"/>
          <w:lang w:eastAsia="cs-CZ"/>
        </w:rPr>
        <w:t xml:space="preserve">Zapomenout nelze ani na </w:t>
      </w:r>
      <w:r w:rsidR="001F66E3" w:rsidRPr="002069B1">
        <w:rPr>
          <w:rFonts w:ascii="Verdana" w:hAnsi="Verdana"/>
          <w:b/>
          <w:sz w:val="20"/>
          <w:szCs w:val="16"/>
          <w:lang w:eastAsia="cs-CZ"/>
        </w:rPr>
        <w:t>růst regulované složky elektrické energie</w:t>
      </w:r>
      <w:r w:rsidR="001F66E3">
        <w:rPr>
          <w:rFonts w:ascii="Verdana" w:hAnsi="Verdana"/>
          <w:sz w:val="20"/>
          <w:szCs w:val="16"/>
          <w:lang w:eastAsia="cs-CZ"/>
        </w:rPr>
        <w:t xml:space="preserve">. Domácnost pana Smutného  ročně </w:t>
      </w:r>
      <w:r w:rsidR="001F66E3">
        <w:rPr>
          <w:rFonts w:ascii="Verdana" w:hAnsi="Verdana"/>
          <w:sz w:val="20"/>
          <w:szCs w:val="16"/>
          <w:lang w:eastAsia="cs-CZ"/>
        </w:rPr>
        <w:lastRenderedPageBreak/>
        <w:t xml:space="preserve">spotřebuje 12 MWh elektřiny, kterou používá i k topení a zatímco v roce 2023 jeho spotřebu částečně dotovala státní kasa,  letos jsou složenky již jen na něm, což způsobí růst výdajů o 13200 Kč.  Od všudypřítomné  konsolidace ovšem pan Smutný neuteče, ani kdyby topení vypnul, jelikož samotné vlastnictví jeho rodinného domu ve středních Čechách  se mu letos prodraží o 1250 Kč na vyšší </w:t>
      </w:r>
      <w:r w:rsidR="001F66E3" w:rsidRPr="002069B1">
        <w:rPr>
          <w:rFonts w:ascii="Verdana" w:hAnsi="Verdana"/>
          <w:b/>
          <w:sz w:val="20"/>
          <w:szCs w:val="16"/>
          <w:lang w:eastAsia="cs-CZ"/>
        </w:rPr>
        <w:t>dani z nemovitosti</w:t>
      </w:r>
      <w:r w:rsidR="001F66E3">
        <w:rPr>
          <w:rFonts w:ascii="Verdana" w:hAnsi="Verdana"/>
          <w:sz w:val="20"/>
          <w:szCs w:val="16"/>
          <w:lang w:eastAsia="cs-CZ"/>
        </w:rPr>
        <w:t xml:space="preserve">.  Rozčarovaný pan Smutný se těšil alespoň na úlevu plynoucí ze změn sazeb </w:t>
      </w:r>
      <w:r w:rsidR="001F66E3" w:rsidRPr="002069B1">
        <w:rPr>
          <w:rFonts w:ascii="Verdana" w:hAnsi="Verdana"/>
          <w:b/>
          <w:sz w:val="20"/>
          <w:szCs w:val="16"/>
          <w:lang w:eastAsia="cs-CZ"/>
        </w:rPr>
        <w:t>daně z přidané hodnoty</w:t>
      </w:r>
      <w:r w:rsidR="001F66E3">
        <w:rPr>
          <w:rFonts w:ascii="Verdana" w:hAnsi="Verdana"/>
          <w:sz w:val="20"/>
          <w:szCs w:val="16"/>
          <w:lang w:eastAsia="cs-CZ"/>
        </w:rPr>
        <w:t>,  ovšem i zde nakonec ostrouhal</w:t>
      </w:r>
      <w:r w:rsidR="00057527">
        <w:rPr>
          <w:rStyle w:val="Znakapoznpodarou"/>
          <w:rFonts w:ascii="Verdana" w:hAnsi="Verdana"/>
          <w:sz w:val="20"/>
          <w:szCs w:val="16"/>
          <w:lang w:eastAsia="cs-CZ"/>
        </w:rPr>
        <w:footnoteReference w:id="1"/>
      </w:r>
      <w:r w:rsidR="001F66E3">
        <w:rPr>
          <w:rFonts w:ascii="Verdana" w:hAnsi="Verdana"/>
          <w:sz w:val="20"/>
          <w:szCs w:val="16"/>
          <w:lang w:eastAsia="cs-CZ"/>
        </w:rPr>
        <w:t xml:space="preserve">. Díky přesunu potravin do nižšího pásma sice ročně ušetří solidních 4700 Kč, ovšem v opačném směru bude přibližně stejně silně působit růst DPH u jeho milovaného točeného piva, úklidových prací, kterými si v domácnosti nechávají Smutní vypomoct, vodného a stočného a kadeřnických služeb. </w:t>
      </w:r>
      <w:r w:rsidR="001F66E3" w:rsidRPr="00057527">
        <w:rPr>
          <w:rFonts w:ascii="Verdana" w:hAnsi="Verdana"/>
          <w:b/>
          <w:sz w:val="20"/>
          <w:szCs w:val="16"/>
          <w:lang w:eastAsia="cs-CZ"/>
        </w:rPr>
        <w:t>V souhrnu se tedy pan Smutný bude na konsolidaci státního rozpočtu v roce 2024 podílet částkou 92 636  Kč, což odpovídá</w:t>
      </w:r>
      <w:r w:rsidR="00627EAB" w:rsidRPr="00057527">
        <w:rPr>
          <w:rFonts w:ascii="Verdana" w:hAnsi="Verdana"/>
          <w:b/>
          <w:sz w:val="20"/>
          <w:szCs w:val="16"/>
          <w:lang w:eastAsia="cs-CZ"/>
        </w:rPr>
        <w:t xml:space="preserve"> 9,6 procentům jeho roční hrubé mzdy</w:t>
      </w:r>
      <w:r w:rsidR="00627EAB">
        <w:rPr>
          <w:rFonts w:ascii="Verdana" w:hAnsi="Verdana"/>
          <w:sz w:val="20"/>
          <w:szCs w:val="16"/>
          <w:lang w:eastAsia="cs-CZ"/>
        </w:rPr>
        <w:t>.</w:t>
      </w:r>
    </w:p>
    <w:p w14:paraId="7BFDAB8B" w14:textId="32B637EE" w:rsidR="00627EAB" w:rsidRDefault="00627EAB" w:rsidP="002C1A8D">
      <w:pPr>
        <w:spacing w:line="360" w:lineRule="auto"/>
        <w:jc w:val="both"/>
        <w:rPr>
          <w:rFonts w:ascii="Verdana" w:hAnsi="Verdana"/>
          <w:sz w:val="20"/>
          <w:szCs w:val="16"/>
          <w:lang w:eastAsia="cs-CZ"/>
        </w:rPr>
        <w:sectPr w:rsidR="00627EAB" w:rsidSect="005068D0">
          <w:headerReference w:type="default" r:id="rId8"/>
          <w:footerReference w:type="default" r:id="rId9"/>
          <w:type w:val="continuous"/>
          <w:pgSz w:w="11906" w:h="16838"/>
          <w:pgMar w:top="720" w:right="720" w:bottom="1701" w:left="720" w:header="567" w:footer="169" w:gutter="0"/>
          <w:cols w:num="2" w:space="708"/>
          <w:docGrid w:linePitch="360"/>
        </w:sectPr>
      </w:pPr>
      <w:r>
        <w:rPr>
          <w:rFonts w:ascii="Verdana" w:hAnsi="Verdana"/>
          <w:sz w:val="20"/>
          <w:szCs w:val="16"/>
          <w:lang w:eastAsia="cs-CZ"/>
        </w:rPr>
        <w:t xml:space="preserve">Přímo naproti přes ulici od Smutných pak bydlí důchodkyně Šťastná. I ona měla z konsolidačního balíčku původně obavy, ovšem záhy se ukázalo, že </w:t>
      </w:r>
      <w:r w:rsidR="00057527">
        <w:rPr>
          <w:rFonts w:ascii="Verdana" w:hAnsi="Verdana"/>
          <w:sz w:val="20"/>
          <w:szCs w:val="16"/>
          <w:lang w:eastAsia="cs-CZ"/>
        </w:rPr>
        <w:t xml:space="preserve">byly </w:t>
      </w:r>
      <w:r>
        <w:rPr>
          <w:rFonts w:ascii="Verdana" w:hAnsi="Verdana"/>
          <w:sz w:val="20"/>
          <w:szCs w:val="16"/>
          <w:lang w:eastAsia="cs-CZ"/>
        </w:rPr>
        <w:t>zbytečn</w:t>
      </w:r>
      <w:r w:rsidR="00057527">
        <w:rPr>
          <w:rFonts w:ascii="Verdana" w:hAnsi="Verdana"/>
          <w:sz w:val="20"/>
          <w:szCs w:val="16"/>
          <w:lang w:eastAsia="cs-CZ"/>
        </w:rPr>
        <w:t>é</w:t>
      </w:r>
      <w:r>
        <w:rPr>
          <w:rFonts w:ascii="Verdana" w:hAnsi="Verdana"/>
          <w:sz w:val="20"/>
          <w:szCs w:val="16"/>
          <w:lang w:eastAsia="cs-CZ"/>
        </w:rPr>
        <w:t xml:space="preserve">. Jelikož již nemá pracovní příjem, netýkaly se jí změny daní z příjmu ani nemocenské pojištění. Bydlí v nájmu a bezprostředně tedy nepocítila ani růst daně z nemovitosti. Nemá stavební spoření, nekupuje si dálniční známku, nekouří a nepije tvrdý alkohol. Topí dřevem a za rok spotřebuje skromných 1,5 MWh elektřiny, což ji letos na </w:t>
      </w:r>
      <w:r w:rsidRPr="00057527">
        <w:rPr>
          <w:rFonts w:ascii="Verdana" w:hAnsi="Verdana"/>
          <w:b/>
          <w:sz w:val="20"/>
          <w:szCs w:val="16"/>
          <w:lang w:eastAsia="cs-CZ"/>
        </w:rPr>
        <w:t>regulované složce</w:t>
      </w:r>
      <w:r>
        <w:rPr>
          <w:rFonts w:ascii="Verdana" w:hAnsi="Verdana"/>
          <w:sz w:val="20"/>
          <w:szCs w:val="16"/>
          <w:lang w:eastAsia="cs-CZ"/>
        </w:rPr>
        <w:t xml:space="preserve"> bude stát o přibližně 1650 </w:t>
      </w:r>
      <w:r>
        <w:rPr>
          <w:rFonts w:ascii="Verdana" w:hAnsi="Verdana"/>
          <w:sz w:val="20"/>
          <w:szCs w:val="16"/>
          <w:lang w:eastAsia="cs-CZ"/>
        </w:rPr>
        <w:t xml:space="preserve">Kč více než před rokem. Nepotěší ji ani </w:t>
      </w:r>
      <w:r w:rsidRPr="00057527">
        <w:rPr>
          <w:rFonts w:ascii="Verdana" w:hAnsi="Verdana"/>
          <w:b/>
          <w:sz w:val="20"/>
          <w:szCs w:val="16"/>
          <w:lang w:eastAsia="cs-CZ"/>
        </w:rPr>
        <w:t>růst DPH</w:t>
      </w:r>
      <w:r>
        <w:rPr>
          <w:rFonts w:ascii="Verdana" w:hAnsi="Verdana"/>
          <w:sz w:val="20"/>
          <w:szCs w:val="16"/>
          <w:lang w:eastAsia="cs-CZ"/>
        </w:rPr>
        <w:t xml:space="preserve"> u léků, vodného a stočného, ovšem tyto vyšší výdaje jí bohatě kompenzuje snížení DPH u potravin, autobusové dopravy a shodou okolností i stavebních prací. Paní Šťastná totiž po letech šetření právě letos zahajuje dlouho odkládanou rekonstrukci koupelny, kterou jí dodává stavební firma na klíč.</w:t>
      </w:r>
      <w:r w:rsidR="002069B1">
        <w:rPr>
          <w:rFonts w:ascii="Verdana" w:hAnsi="Verdana"/>
          <w:sz w:val="20"/>
          <w:szCs w:val="16"/>
          <w:lang w:eastAsia="cs-CZ"/>
        </w:rPr>
        <w:t xml:space="preserve"> Celkem tak pro ni změny sazeb DPH znamenají čistou roční úsporu ve výši 4682 Kč. I po zohlednění vyšší</w:t>
      </w:r>
      <w:r w:rsidR="00057527">
        <w:rPr>
          <w:rFonts w:ascii="Verdana" w:hAnsi="Verdana"/>
          <w:sz w:val="20"/>
          <w:szCs w:val="16"/>
          <w:lang w:eastAsia="cs-CZ"/>
        </w:rPr>
        <w:t>ch</w:t>
      </w:r>
      <w:r w:rsidR="002069B1">
        <w:rPr>
          <w:rFonts w:ascii="Verdana" w:hAnsi="Verdana"/>
          <w:sz w:val="20"/>
          <w:szCs w:val="16"/>
          <w:lang w:eastAsia="cs-CZ"/>
        </w:rPr>
        <w:t xml:space="preserve"> plateb za distribuci energie </w:t>
      </w:r>
      <w:r w:rsidR="002069B1" w:rsidRPr="00057527">
        <w:rPr>
          <w:rFonts w:ascii="Verdana" w:hAnsi="Verdana"/>
          <w:b/>
          <w:sz w:val="20"/>
          <w:szCs w:val="16"/>
          <w:lang w:eastAsia="cs-CZ"/>
        </w:rPr>
        <w:t>se jí tedy vládní konsolidační balíček vyplatí  o 3032 Kč ročně</w:t>
      </w:r>
      <w:r w:rsidR="002069B1">
        <w:rPr>
          <w:rFonts w:ascii="Verdana" w:hAnsi="Verdana"/>
          <w:sz w:val="20"/>
          <w:szCs w:val="16"/>
          <w:lang w:eastAsia="cs-CZ"/>
        </w:rPr>
        <w:t>.</w:t>
      </w:r>
    </w:p>
    <w:p w14:paraId="38CAD464" w14:textId="77777777" w:rsidR="00D64538" w:rsidRPr="009C5A9F" w:rsidRDefault="00D64538" w:rsidP="00D64538">
      <w:pPr>
        <w:spacing w:line="360" w:lineRule="auto"/>
        <w:jc w:val="both"/>
        <w:rPr>
          <w:rFonts w:ascii="Verdana" w:hAnsi="Verdana"/>
          <w:b/>
          <w:sz w:val="16"/>
          <w:szCs w:val="16"/>
          <w:lang w:eastAsia="cs-CZ"/>
        </w:rPr>
      </w:pPr>
      <w:r w:rsidRPr="009C5A9F">
        <w:rPr>
          <w:rFonts w:ascii="Verdana" w:hAnsi="Verdana"/>
          <w:b/>
          <w:sz w:val="16"/>
          <w:szCs w:val="16"/>
          <w:lang w:eastAsia="cs-CZ"/>
        </w:rPr>
        <w:lastRenderedPageBreak/>
        <w:t>Upozornění</w:t>
      </w:r>
    </w:p>
    <w:p w14:paraId="6B5E27B7" w14:textId="1626881A" w:rsidR="00213745" w:rsidRPr="009C5A9F" w:rsidRDefault="00D64538" w:rsidP="00213745">
      <w:pPr>
        <w:spacing w:line="360" w:lineRule="auto"/>
        <w:jc w:val="both"/>
        <w:rPr>
          <w:rFonts w:ascii="Verdana" w:hAnsi="Verdana"/>
          <w:sz w:val="16"/>
          <w:szCs w:val="16"/>
          <w:lang w:eastAsia="cs-CZ"/>
        </w:rPr>
      </w:pPr>
      <w:r w:rsidRPr="009C5A9F">
        <w:rPr>
          <w:rFonts w:ascii="Verdana" w:hAnsi="Verdana"/>
          <w:sz w:val="16"/>
          <w:szCs w:val="16"/>
          <w:lang w:eastAsia="cs-CZ"/>
        </w:rPr>
        <w:t>Dokument byl zpracován společností CYRRUS, a.s.,  obchodníkem  s  cennými  papíry,  se  sídlem  Brno,  Veveří  111 (dále  jen „společnost“). Společnost je členem Burzy  cenných papírů Praha, a.s. a Frankfurt Stock  Exchange   (FWB)   –  Deutsche   Börse.   Společnost   podléhá regulaci a dohledu České národní banky. Dokument je  určen   pouze  pro  reklamní   účely a nebyl vytvořen za účelem komplexního průvodce investicemi. Poskytuje pouze krátký přehled o jednom z investičních  produktů  v současné  nabídce.  Dokument  nenahrazuje  odborné poradenství k finančním nástrojům v něm uvedeným, ani nenahrazuje komplexní poučení o rizicích. Dokument je určen výhradně pro počáteční informační účely a společnost důrazně doporučuje investorům podstoupit investiční a/nebo právní a/nebo daňové poradenství před tím, než učiní investiční rozhodnutí. Informace obsažené v tomto  dokumentu  nelze  považovat  za  radu  k jednotlivé investici, ani  za  daňovou  nebo  právní radu. Pokud se v dokumentu hovoří o jakémkoliv výnosu, je vždy třeba vycházet ze zásady, že minulé  výnosy  nejsou  zárukou  výnosů  budoucích, že jakákoliv investice v sobě zahrnuje riziko kolísání hodnoty a změny směnných kursů a že návratnost původně investovaných prostředků ani výše zisku není, pokud v textu dokumentu  není uvedeno jinak, zaručena. Investoři mohou získat při prodeji uvedeného investičního nástroje před datem splatnosti nebo při splacení investičního nástroje částku nižší než částku investovanou. Potenciální ztráta je omezena na původně investovanou částku. Informace jsou založeny na hrubé výkonnosti před zdaněním. Tento dokument obsahuje příklady vytvořené na základě analýzy scénářů vývoje podkladových instrumentů. Očekávání a  predikce  analytiků  a  stratégů  nejsou  spolehlivým indikátorem  budoucího  vývoje  tržního  kurzu  dotčených  investičních  nástrojů.</w:t>
      </w:r>
      <w:r w:rsidR="00213745" w:rsidRPr="00213745">
        <w:rPr>
          <w:rFonts w:ascii="Verdana" w:hAnsi="Verdana"/>
          <w:sz w:val="16"/>
          <w:szCs w:val="16"/>
          <w:lang w:eastAsia="cs-CZ"/>
        </w:rPr>
        <w:t xml:space="preserve"> </w:t>
      </w:r>
      <w:r w:rsidR="00213745" w:rsidRPr="009C5A9F">
        <w:rPr>
          <w:rFonts w:ascii="Verdana" w:hAnsi="Verdana"/>
          <w:sz w:val="16"/>
          <w:szCs w:val="16"/>
          <w:lang w:eastAsia="cs-CZ"/>
        </w:rPr>
        <w:t>Příklady  jsou  založeny  pouze  na  hypotetických  předpokladech  a  neumožňují  jakýkoli  závěr  o  budoucím  vývoji  ceny  investičního  nástroje.  Zdanění  je  závislé  na  osobních  poměrech každého investora a podléhá zákonným předpisům a dohledu příslušných úřadů. Tento dokument byl připraven s náležitou a patřičnou  pečlivostí a  pozorností,  společnost  však  neposkytuje garance či ujištění, ať výslovné nebo předpokládané, o  jeho  přesnosti,  správnosti,  aktuálnosti  nebo  úplnosti.  Z  informací v  tomto  dokumentu není  možné odvozovat  žádná práva  ani povinnosti. Informace o společnosti a podrobné informace o  pobídkách  a střetech zájmů  naleznete na www.cyrrus.cz  v sekci O společnosti.  Tiskové chyby vyhrazeny.  Obsah dokumentu  je chráněn dle autorského zákona, majitelem autorských práv je společnost. Společnost zakazuje zveřejnění a šíření dokumentu bez jejího písemného souhlasu. Společnost nenese odpovědnost za šíření nebo uveřejnění dokumentu třetími osobami.</w:t>
      </w:r>
    </w:p>
    <w:p w14:paraId="175C796F" w14:textId="3EF8C8BB" w:rsidR="00D64538" w:rsidRPr="009C5A9F" w:rsidRDefault="00D64538" w:rsidP="00D64538">
      <w:pPr>
        <w:spacing w:line="360" w:lineRule="auto"/>
        <w:jc w:val="both"/>
        <w:rPr>
          <w:rFonts w:ascii="Verdana" w:hAnsi="Verdana"/>
          <w:sz w:val="16"/>
          <w:szCs w:val="16"/>
          <w:lang w:eastAsia="cs-CZ"/>
        </w:rPr>
      </w:pPr>
    </w:p>
    <w:tbl>
      <w:tblPr>
        <w:tblStyle w:val="Mkatabulky"/>
        <w:tblpPr w:leftFromText="142" w:rightFromText="142" w:vertAnchor="page" w:horzAnchor="margin" w:tblpY="1000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693"/>
        <w:gridCol w:w="2982"/>
        <w:gridCol w:w="2659"/>
      </w:tblGrid>
      <w:tr w:rsidR="00C63A3C" w:rsidRPr="009C5A9F" w14:paraId="4FDEF083" w14:textId="77777777" w:rsidTr="00C63A3C">
        <w:trPr>
          <w:trHeight w:val="284"/>
        </w:trPr>
        <w:tc>
          <w:tcPr>
            <w:tcW w:w="2122" w:type="dxa"/>
            <w:tcBorders>
              <w:top w:val="single" w:sz="8" w:space="0" w:color="A6A6A6" w:themeColor="background1" w:themeShade="A6"/>
            </w:tcBorders>
          </w:tcPr>
          <w:p w14:paraId="7E6D9EAD" w14:textId="77777777" w:rsidR="00C63A3C" w:rsidRPr="009C5A9F" w:rsidRDefault="00C63A3C" w:rsidP="00C63A3C">
            <w:pPr>
              <w:pStyle w:val="Zpat"/>
              <w:jc w:val="both"/>
              <w:rPr>
                <w:rFonts w:ascii="Verdana" w:hAnsi="Verdana"/>
                <w:color w:val="FFC832" w:themeColor="background2"/>
                <w:sz w:val="28"/>
              </w:rPr>
            </w:pPr>
          </w:p>
        </w:tc>
        <w:tc>
          <w:tcPr>
            <w:tcW w:w="8334" w:type="dxa"/>
            <w:gridSpan w:val="3"/>
            <w:tcBorders>
              <w:top w:val="single" w:sz="8" w:space="0" w:color="A6A6A6" w:themeColor="background1" w:themeShade="A6"/>
            </w:tcBorders>
          </w:tcPr>
          <w:p w14:paraId="4E6D3D8C" w14:textId="77777777" w:rsidR="00C63A3C" w:rsidRPr="009C5A9F" w:rsidRDefault="00C63A3C" w:rsidP="00C63A3C">
            <w:pPr>
              <w:pStyle w:val="Zpat"/>
              <w:jc w:val="both"/>
              <w:rPr>
                <w:rFonts w:ascii="Verdana" w:hAnsi="Verdana"/>
              </w:rPr>
            </w:pPr>
          </w:p>
        </w:tc>
      </w:tr>
      <w:tr w:rsidR="00C63A3C" w:rsidRPr="009C5A9F" w14:paraId="55CDE469" w14:textId="77777777" w:rsidTr="00C63A3C">
        <w:trPr>
          <w:trHeight w:val="1127"/>
        </w:trPr>
        <w:tc>
          <w:tcPr>
            <w:tcW w:w="2122" w:type="dxa"/>
          </w:tcPr>
          <w:p w14:paraId="36BDA476" w14:textId="77777777" w:rsidR="00C63A3C" w:rsidRPr="009C5A9F" w:rsidRDefault="00C63A3C" w:rsidP="00C63A3C">
            <w:pPr>
              <w:pStyle w:val="Zpat"/>
              <w:jc w:val="both"/>
              <w:rPr>
                <w:rFonts w:ascii="Verdana" w:hAnsi="Verdana"/>
                <w:b/>
              </w:rPr>
            </w:pPr>
            <w:r w:rsidRPr="009C5A9F">
              <w:rPr>
                <w:rFonts w:ascii="Verdana" w:hAnsi="Verdana"/>
                <w:b/>
                <w:color w:val="FFC832" w:themeColor="background2"/>
                <w:sz w:val="28"/>
              </w:rPr>
              <w:t>Investujte.</w:t>
            </w:r>
            <w:r w:rsidRPr="009C5A9F">
              <w:rPr>
                <w:rFonts w:ascii="Verdana" w:hAnsi="Verdana"/>
                <w:b/>
                <w:color w:val="FFC832" w:themeColor="background2"/>
                <w:sz w:val="28"/>
              </w:rPr>
              <w:br/>
              <w:t>CYRRUS</w:t>
            </w:r>
          </w:p>
        </w:tc>
        <w:tc>
          <w:tcPr>
            <w:tcW w:w="8334" w:type="dxa"/>
            <w:gridSpan w:val="3"/>
          </w:tcPr>
          <w:p w14:paraId="245B18A9" w14:textId="77777777" w:rsidR="00C63A3C" w:rsidRPr="009C5A9F" w:rsidRDefault="00C63A3C" w:rsidP="00C63A3C">
            <w:pPr>
              <w:pStyle w:val="Zpat"/>
              <w:jc w:val="both"/>
              <w:rPr>
                <w:rFonts w:ascii="Verdana" w:hAnsi="Verdana"/>
              </w:rPr>
            </w:pPr>
            <w:r w:rsidRPr="009C5A9F">
              <w:rPr>
                <w:rFonts w:ascii="Verdana" w:hAnsi="Verdana"/>
              </w:rPr>
              <w:t>V roce 1995 jsme se vydali na cestu brokera. 25 let obchodujeme s cennými papíry, staráme se o své klienty, reagujeme na dění ve světě a rozvíjíme se. Díky tomu vám můžeme přinášet stále nové služby a inovativní možnosti investování. Jsme CYRRUS.</w:t>
            </w:r>
          </w:p>
        </w:tc>
      </w:tr>
      <w:tr w:rsidR="00C63A3C" w:rsidRPr="009C5A9F" w14:paraId="4874CD78" w14:textId="77777777" w:rsidTr="00C63A3C">
        <w:trPr>
          <w:trHeight w:val="1895"/>
        </w:trPr>
        <w:tc>
          <w:tcPr>
            <w:tcW w:w="2122" w:type="dxa"/>
            <w:vMerge w:val="restart"/>
          </w:tcPr>
          <w:p w14:paraId="56C061E4" w14:textId="77777777" w:rsidR="00C63A3C" w:rsidRPr="009C5A9F" w:rsidRDefault="00000000" w:rsidP="00C63A3C">
            <w:pPr>
              <w:pStyle w:val="Zpat"/>
              <w:spacing w:after="240"/>
              <w:jc w:val="both"/>
              <w:rPr>
                <w:rFonts w:ascii="Verdana" w:hAnsi="Verdana"/>
                <w:sz w:val="16"/>
              </w:rPr>
            </w:pPr>
            <w:hyperlink r:id="rId10" w:history="1">
              <w:r w:rsidR="00C63A3C" w:rsidRPr="009C5A9F">
                <w:rPr>
                  <w:rStyle w:val="Hypertextovodkaz"/>
                  <w:rFonts w:ascii="Verdana" w:hAnsi="Verdana"/>
                  <w:sz w:val="16"/>
                </w:rPr>
                <w:t>Loga ke stažení</w:t>
              </w:r>
            </w:hyperlink>
          </w:p>
          <w:p w14:paraId="2D784830" w14:textId="77777777" w:rsidR="00C63A3C" w:rsidRPr="009C5A9F" w:rsidRDefault="00000000" w:rsidP="00C63A3C">
            <w:pPr>
              <w:pStyle w:val="Zpat"/>
              <w:spacing w:after="240"/>
              <w:jc w:val="both"/>
              <w:rPr>
                <w:rFonts w:ascii="Verdana" w:hAnsi="Verdana"/>
                <w:sz w:val="16"/>
              </w:rPr>
            </w:pPr>
            <w:hyperlink r:id="rId11" w:history="1">
              <w:r w:rsidR="00C63A3C" w:rsidRPr="009C5A9F">
                <w:rPr>
                  <w:rStyle w:val="Hypertextovodkaz"/>
                  <w:rFonts w:ascii="Verdana" w:hAnsi="Verdana"/>
                  <w:sz w:val="16"/>
                </w:rPr>
                <w:t>Obecné fotografie</w:t>
              </w:r>
            </w:hyperlink>
          </w:p>
          <w:p w14:paraId="7A76238A" w14:textId="77777777" w:rsidR="00C63A3C" w:rsidRPr="009C5A9F" w:rsidRDefault="00C63A3C" w:rsidP="00C63A3C">
            <w:pPr>
              <w:pStyle w:val="Zpat"/>
              <w:spacing w:after="240"/>
              <w:rPr>
                <w:rFonts w:ascii="Verdana" w:hAnsi="Verdana"/>
                <w:sz w:val="16"/>
              </w:rPr>
            </w:pPr>
            <w:r w:rsidRPr="009C5A9F">
              <w:rPr>
                <w:rFonts w:ascii="Verdana" w:hAnsi="Verdana"/>
                <w:sz w:val="16"/>
              </w:rPr>
              <w:t>Název společnosti píšeme velkými písmeny a neskloňujeme.</w:t>
            </w:r>
          </w:p>
          <w:p w14:paraId="213E57A0" w14:textId="77777777" w:rsidR="00C63A3C" w:rsidRPr="009C5A9F" w:rsidRDefault="00C63A3C" w:rsidP="00C63A3C">
            <w:pPr>
              <w:pStyle w:val="Zpat"/>
              <w:spacing w:after="240"/>
              <w:rPr>
                <w:rFonts w:ascii="Verdana" w:hAnsi="Verdana"/>
                <w:sz w:val="16"/>
              </w:rPr>
            </w:pPr>
            <w:r w:rsidRPr="009C5A9F">
              <w:rPr>
                <w:rFonts w:ascii="Verdana" w:hAnsi="Verdana"/>
                <w:sz w:val="16"/>
              </w:rPr>
              <w:t>Vyslovujeme [CYRRUS].</w:t>
            </w:r>
          </w:p>
          <w:p w14:paraId="6FB45D94" w14:textId="77777777" w:rsidR="00C63A3C" w:rsidRPr="009C5A9F" w:rsidRDefault="00000000" w:rsidP="00C63A3C">
            <w:pPr>
              <w:pStyle w:val="Zpat"/>
              <w:jc w:val="both"/>
              <w:rPr>
                <w:rFonts w:ascii="Verdana" w:hAnsi="Verdana"/>
                <w:sz w:val="16"/>
              </w:rPr>
            </w:pPr>
            <w:hyperlink r:id="rId12" w:history="1">
              <w:r w:rsidR="00C63A3C" w:rsidRPr="009C5A9F">
                <w:rPr>
                  <w:rStyle w:val="Hypertextovodkaz"/>
                  <w:rFonts w:ascii="Verdana" w:hAnsi="Verdana"/>
                  <w:sz w:val="16"/>
                </w:rPr>
                <w:t>WWW.CYRRUS.CZ</w:t>
              </w:r>
            </w:hyperlink>
          </w:p>
        </w:tc>
        <w:tc>
          <w:tcPr>
            <w:tcW w:w="2693" w:type="dxa"/>
          </w:tcPr>
          <w:p w14:paraId="7576E967" w14:textId="77777777" w:rsidR="00C63A3C" w:rsidRPr="009C5A9F" w:rsidRDefault="00C63A3C" w:rsidP="00C63A3C">
            <w:pPr>
              <w:pStyle w:val="Zpat"/>
              <w:jc w:val="center"/>
              <w:rPr>
                <w:rFonts w:ascii="Verdana" w:hAnsi="Verdana"/>
              </w:rPr>
            </w:pPr>
            <w:r w:rsidRPr="009C5A9F">
              <w:rPr>
                <w:rFonts w:ascii="Verdana" w:hAnsi="Verdana"/>
                <w:noProof/>
                <w:lang w:eastAsia="cs-CZ"/>
              </w:rPr>
              <w:drawing>
                <wp:inline distT="0" distB="0" distL="0" distR="0" wp14:anchorId="324CE04C" wp14:editId="4A458253">
                  <wp:extent cx="1136488" cy="1136488"/>
                  <wp:effectExtent l="0" t="0" r="6985" b="6985"/>
                  <wp:docPr id="876" name="Obrázek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c>
          <w:tcPr>
            <w:tcW w:w="2982" w:type="dxa"/>
          </w:tcPr>
          <w:p w14:paraId="6DE51152" w14:textId="77777777" w:rsidR="00C63A3C" w:rsidRPr="009C5A9F" w:rsidRDefault="00C63A3C" w:rsidP="00C63A3C">
            <w:pPr>
              <w:pStyle w:val="Zpat"/>
              <w:jc w:val="center"/>
              <w:rPr>
                <w:rFonts w:ascii="Verdana" w:hAnsi="Verdana"/>
              </w:rPr>
            </w:pPr>
            <w:r w:rsidRPr="009C5A9F">
              <w:rPr>
                <w:rFonts w:ascii="Verdana" w:hAnsi="Verdana"/>
                <w:noProof/>
                <w:lang w:eastAsia="cs-CZ"/>
              </w:rPr>
              <w:drawing>
                <wp:inline distT="0" distB="0" distL="0" distR="0" wp14:anchorId="67A58543" wp14:editId="53F656BF">
                  <wp:extent cx="1136488" cy="1136488"/>
                  <wp:effectExtent l="0" t="0" r="6985" b="6985"/>
                  <wp:docPr id="877" name="Obrázek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c>
          <w:tcPr>
            <w:tcW w:w="2659" w:type="dxa"/>
          </w:tcPr>
          <w:p w14:paraId="07D66F34" w14:textId="77777777" w:rsidR="00C63A3C" w:rsidRPr="009C5A9F" w:rsidRDefault="00C63A3C" w:rsidP="00C63A3C">
            <w:pPr>
              <w:pStyle w:val="Zpat"/>
              <w:jc w:val="center"/>
              <w:rPr>
                <w:rFonts w:ascii="Verdana" w:hAnsi="Verdana"/>
              </w:rPr>
            </w:pPr>
            <w:r w:rsidRPr="009C5A9F">
              <w:rPr>
                <w:rFonts w:ascii="Verdana" w:hAnsi="Verdana"/>
                <w:noProof/>
                <w:lang w:eastAsia="cs-CZ"/>
              </w:rPr>
              <w:drawing>
                <wp:inline distT="0" distB="0" distL="0" distR="0" wp14:anchorId="2C6ABD72" wp14:editId="15F29303">
                  <wp:extent cx="1136488" cy="1136488"/>
                  <wp:effectExtent l="0" t="0" r="6985" b="6985"/>
                  <wp:docPr id="878" name="Obrázek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r>
      <w:tr w:rsidR="00C63A3C" w:rsidRPr="009C5A9F" w14:paraId="48F9130E" w14:textId="77777777" w:rsidTr="00C63A3C">
        <w:tc>
          <w:tcPr>
            <w:tcW w:w="2122" w:type="dxa"/>
            <w:vMerge/>
          </w:tcPr>
          <w:p w14:paraId="43FB5B8C" w14:textId="77777777" w:rsidR="00C63A3C" w:rsidRPr="009C5A9F" w:rsidRDefault="00C63A3C" w:rsidP="00C63A3C">
            <w:pPr>
              <w:pStyle w:val="Zpat"/>
              <w:jc w:val="both"/>
              <w:rPr>
                <w:rFonts w:ascii="Verdana" w:hAnsi="Verdana"/>
              </w:rPr>
            </w:pPr>
          </w:p>
        </w:tc>
        <w:tc>
          <w:tcPr>
            <w:tcW w:w="2693" w:type="dxa"/>
          </w:tcPr>
          <w:p w14:paraId="1CF3D35E" w14:textId="77777777" w:rsidR="00C63A3C" w:rsidRPr="009C5A9F" w:rsidRDefault="00C63A3C" w:rsidP="00842547">
            <w:pPr>
              <w:pStyle w:val="Zpat"/>
              <w:jc w:val="center"/>
              <w:rPr>
                <w:rFonts w:ascii="Verdana" w:hAnsi="Verdana"/>
                <w:b/>
              </w:rPr>
            </w:pPr>
            <w:r w:rsidRPr="009C5A9F">
              <w:rPr>
                <w:rFonts w:ascii="Verdana" w:hAnsi="Verdana"/>
                <w:b/>
              </w:rPr>
              <w:t>Vít Hradil</w:t>
            </w:r>
          </w:p>
          <w:p w14:paraId="510077E4" w14:textId="77777777" w:rsidR="00C63A3C" w:rsidRPr="009C5A9F" w:rsidRDefault="00C63A3C" w:rsidP="00842547">
            <w:pPr>
              <w:pStyle w:val="Zpat"/>
              <w:spacing w:after="240"/>
              <w:jc w:val="center"/>
              <w:rPr>
                <w:rFonts w:ascii="Verdana" w:hAnsi="Verdana"/>
                <w:sz w:val="14"/>
              </w:rPr>
            </w:pPr>
            <w:r w:rsidRPr="009C5A9F">
              <w:rPr>
                <w:rFonts w:ascii="Verdana" w:hAnsi="Verdana"/>
                <w:sz w:val="14"/>
              </w:rPr>
              <w:t>Hlavní ekonom CYRRUS</w:t>
            </w:r>
          </w:p>
        </w:tc>
        <w:tc>
          <w:tcPr>
            <w:tcW w:w="2982" w:type="dxa"/>
          </w:tcPr>
          <w:p w14:paraId="1A044F41" w14:textId="77777777" w:rsidR="00C63A3C" w:rsidRPr="009C5A9F" w:rsidRDefault="00C63A3C" w:rsidP="00842547">
            <w:pPr>
              <w:pStyle w:val="Zpat"/>
              <w:jc w:val="center"/>
              <w:rPr>
                <w:rFonts w:ascii="Verdana" w:hAnsi="Verdana"/>
                <w:b/>
              </w:rPr>
            </w:pPr>
            <w:r w:rsidRPr="009C5A9F">
              <w:rPr>
                <w:rFonts w:ascii="Verdana" w:hAnsi="Verdana"/>
                <w:b/>
              </w:rPr>
              <w:t>Ing. Anna Píchová</w:t>
            </w:r>
          </w:p>
          <w:p w14:paraId="326139E5" w14:textId="77777777" w:rsidR="00C63A3C" w:rsidRPr="009C5A9F" w:rsidRDefault="00C63A3C" w:rsidP="00842547">
            <w:pPr>
              <w:pStyle w:val="Zpat"/>
              <w:jc w:val="center"/>
              <w:rPr>
                <w:rFonts w:ascii="Verdana" w:hAnsi="Verdana"/>
              </w:rPr>
            </w:pPr>
            <w:r w:rsidRPr="009C5A9F">
              <w:rPr>
                <w:rFonts w:ascii="Verdana" w:hAnsi="Verdana"/>
                <w:sz w:val="14"/>
              </w:rPr>
              <w:t>Vedoucí analytického oddělení CYRRUS</w:t>
            </w:r>
          </w:p>
        </w:tc>
        <w:tc>
          <w:tcPr>
            <w:tcW w:w="2659" w:type="dxa"/>
          </w:tcPr>
          <w:p w14:paraId="56F6D264" w14:textId="77777777" w:rsidR="00C63A3C" w:rsidRPr="009C5A9F" w:rsidRDefault="00C63A3C" w:rsidP="00842547">
            <w:pPr>
              <w:pStyle w:val="Zpat"/>
              <w:jc w:val="center"/>
              <w:rPr>
                <w:rFonts w:ascii="Verdana" w:hAnsi="Verdana"/>
                <w:b/>
              </w:rPr>
            </w:pPr>
            <w:r w:rsidRPr="009C5A9F">
              <w:rPr>
                <w:rFonts w:ascii="Verdana" w:hAnsi="Verdana"/>
                <w:b/>
              </w:rPr>
              <w:t>Tomáš Pfeiler, CFA</w:t>
            </w:r>
          </w:p>
          <w:p w14:paraId="55F23C1D" w14:textId="77777777" w:rsidR="00C63A3C" w:rsidRPr="009C5A9F" w:rsidRDefault="00C63A3C" w:rsidP="00842547">
            <w:pPr>
              <w:pStyle w:val="Zpat"/>
              <w:jc w:val="center"/>
              <w:rPr>
                <w:rFonts w:ascii="Verdana" w:hAnsi="Verdana"/>
              </w:rPr>
            </w:pPr>
            <w:r w:rsidRPr="009C5A9F">
              <w:rPr>
                <w:rFonts w:ascii="Verdana" w:hAnsi="Verdana"/>
                <w:sz w:val="14"/>
              </w:rPr>
              <w:t>Portfolio manažer CYRRUS</w:t>
            </w:r>
          </w:p>
        </w:tc>
      </w:tr>
      <w:tr w:rsidR="00C63A3C" w:rsidRPr="009C5A9F" w14:paraId="1A2E2D0F" w14:textId="77777777" w:rsidTr="00C63A3C">
        <w:tc>
          <w:tcPr>
            <w:tcW w:w="2122" w:type="dxa"/>
            <w:vMerge/>
          </w:tcPr>
          <w:p w14:paraId="165CD6DB" w14:textId="77777777" w:rsidR="00C63A3C" w:rsidRPr="009C5A9F" w:rsidRDefault="00C63A3C" w:rsidP="00C63A3C">
            <w:pPr>
              <w:pStyle w:val="Zpat"/>
              <w:jc w:val="both"/>
              <w:rPr>
                <w:rFonts w:ascii="Verdana" w:hAnsi="Verdana"/>
              </w:rPr>
            </w:pPr>
          </w:p>
        </w:tc>
        <w:tc>
          <w:tcPr>
            <w:tcW w:w="2693" w:type="dxa"/>
          </w:tcPr>
          <w:p w14:paraId="02AB5013" w14:textId="77777777" w:rsidR="00C63A3C" w:rsidRPr="009C5A9F" w:rsidRDefault="00C63A3C" w:rsidP="00C63A3C">
            <w:pPr>
              <w:jc w:val="center"/>
              <w:rPr>
                <w:rFonts w:ascii="Verdana" w:hAnsi="Verdana"/>
                <w:sz w:val="16"/>
              </w:rPr>
            </w:pPr>
            <w:r w:rsidRPr="009C5A9F">
              <w:rPr>
                <w:rFonts w:ascii="Verdana" w:hAnsi="Verdana"/>
                <w:sz w:val="16"/>
              </w:rPr>
              <w:t>277 021 816</w:t>
            </w:r>
            <w:r w:rsidRPr="009C5A9F">
              <w:rPr>
                <w:rFonts w:ascii="Verdana" w:hAnsi="Verdana"/>
                <w:sz w:val="16"/>
              </w:rPr>
              <w:br/>
              <w:t>vit.hradil@cyrrus.cz</w:t>
            </w:r>
          </w:p>
        </w:tc>
        <w:tc>
          <w:tcPr>
            <w:tcW w:w="2982" w:type="dxa"/>
          </w:tcPr>
          <w:p w14:paraId="012BAB71" w14:textId="77777777" w:rsidR="00C63A3C" w:rsidRPr="009C5A9F" w:rsidRDefault="00C63A3C" w:rsidP="00C63A3C">
            <w:pPr>
              <w:jc w:val="center"/>
              <w:rPr>
                <w:rFonts w:ascii="Verdana" w:hAnsi="Verdana"/>
              </w:rPr>
            </w:pPr>
            <w:r w:rsidRPr="009C5A9F">
              <w:rPr>
                <w:rFonts w:ascii="Verdana" w:hAnsi="Verdana"/>
                <w:sz w:val="16"/>
              </w:rPr>
              <w:t>538 705 765</w:t>
            </w:r>
            <w:r w:rsidRPr="009C5A9F">
              <w:rPr>
                <w:rFonts w:ascii="Verdana" w:hAnsi="Verdana"/>
                <w:sz w:val="16"/>
              </w:rPr>
              <w:br/>
              <w:t>anna.pichova@cyrrus.cz</w:t>
            </w:r>
          </w:p>
        </w:tc>
        <w:tc>
          <w:tcPr>
            <w:tcW w:w="2659" w:type="dxa"/>
          </w:tcPr>
          <w:p w14:paraId="035CCCEC" w14:textId="77777777" w:rsidR="00C63A3C" w:rsidRPr="009C5A9F" w:rsidRDefault="00C63A3C" w:rsidP="00C63A3C">
            <w:pPr>
              <w:pStyle w:val="Zpat"/>
              <w:jc w:val="center"/>
              <w:rPr>
                <w:rFonts w:ascii="Verdana" w:hAnsi="Verdana"/>
              </w:rPr>
            </w:pPr>
            <w:r w:rsidRPr="009C5A9F">
              <w:rPr>
                <w:rFonts w:ascii="Verdana" w:hAnsi="Verdana"/>
                <w:sz w:val="16"/>
              </w:rPr>
              <w:t>277 021 819</w:t>
            </w:r>
            <w:r w:rsidRPr="009C5A9F">
              <w:rPr>
                <w:rFonts w:ascii="Verdana" w:hAnsi="Verdana"/>
                <w:sz w:val="16"/>
              </w:rPr>
              <w:br/>
              <w:t>tomas.pfeiler@cyrrus.cz</w:t>
            </w:r>
          </w:p>
        </w:tc>
      </w:tr>
      <w:tr w:rsidR="00C63A3C" w:rsidRPr="009C5A9F" w14:paraId="613B12CB" w14:textId="77777777" w:rsidTr="00C63A3C">
        <w:trPr>
          <w:trHeight w:val="480"/>
        </w:trPr>
        <w:tc>
          <w:tcPr>
            <w:tcW w:w="2122" w:type="dxa"/>
            <w:vMerge/>
          </w:tcPr>
          <w:p w14:paraId="7883490E" w14:textId="77777777" w:rsidR="00C63A3C" w:rsidRPr="009C5A9F" w:rsidRDefault="00C63A3C" w:rsidP="00C63A3C">
            <w:pPr>
              <w:pStyle w:val="Zpat"/>
              <w:jc w:val="both"/>
              <w:rPr>
                <w:rFonts w:ascii="Verdana" w:hAnsi="Verdana"/>
              </w:rPr>
            </w:pPr>
          </w:p>
        </w:tc>
        <w:tc>
          <w:tcPr>
            <w:tcW w:w="2693" w:type="dxa"/>
            <w:vAlign w:val="center"/>
          </w:tcPr>
          <w:p w14:paraId="5F96A1B7" w14:textId="77777777" w:rsidR="00C63A3C" w:rsidRPr="009C5A9F" w:rsidRDefault="00000000" w:rsidP="00C63A3C">
            <w:pPr>
              <w:jc w:val="center"/>
              <w:rPr>
                <w:rFonts w:ascii="Verdana" w:hAnsi="Verdana"/>
                <w:sz w:val="16"/>
              </w:rPr>
            </w:pPr>
            <w:hyperlink r:id="rId16" w:history="1">
              <w:r w:rsidR="00C63A3C" w:rsidRPr="009C5A9F">
                <w:rPr>
                  <w:rStyle w:val="Hypertextovodkaz"/>
                  <w:rFonts w:ascii="Verdana" w:hAnsi="Verdana"/>
                  <w:sz w:val="16"/>
                </w:rPr>
                <w:t>Fotografie</w:t>
              </w:r>
            </w:hyperlink>
          </w:p>
        </w:tc>
        <w:tc>
          <w:tcPr>
            <w:tcW w:w="2982" w:type="dxa"/>
            <w:vAlign w:val="center"/>
          </w:tcPr>
          <w:p w14:paraId="30C6D0A8" w14:textId="77777777" w:rsidR="00C63A3C" w:rsidRPr="009C5A9F" w:rsidRDefault="00000000" w:rsidP="00C63A3C">
            <w:pPr>
              <w:jc w:val="center"/>
              <w:rPr>
                <w:rFonts w:ascii="Verdana" w:hAnsi="Verdana"/>
                <w:sz w:val="16"/>
              </w:rPr>
            </w:pPr>
            <w:hyperlink r:id="rId17" w:history="1">
              <w:r w:rsidR="00C63A3C" w:rsidRPr="009C5A9F">
                <w:rPr>
                  <w:rStyle w:val="Hypertextovodkaz"/>
                  <w:rFonts w:ascii="Verdana" w:hAnsi="Verdana"/>
                  <w:sz w:val="16"/>
                </w:rPr>
                <w:t>Fotografie</w:t>
              </w:r>
            </w:hyperlink>
          </w:p>
        </w:tc>
        <w:tc>
          <w:tcPr>
            <w:tcW w:w="2659" w:type="dxa"/>
            <w:vAlign w:val="center"/>
          </w:tcPr>
          <w:p w14:paraId="563F9B71" w14:textId="77777777" w:rsidR="00C63A3C" w:rsidRPr="009C5A9F" w:rsidRDefault="00000000" w:rsidP="00C63A3C">
            <w:pPr>
              <w:pStyle w:val="Zpat"/>
              <w:jc w:val="center"/>
              <w:rPr>
                <w:rFonts w:ascii="Verdana" w:hAnsi="Verdana"/>
                <w:sz w:val="16"/>
              </w:rPr>
            </w:pPr>
            <w:hyperlink r:id="rId18" w:history="1">
              <w:r w:rsidR="00C63A3C" w:rsidRPr="009C5A9F">
                <w:rPr>
                  <w:rStyle w:val="Hypertextovodkaz"/>
                  <w:rFonts w:ascii="Verdana" w:hAnsi="Verdana"/>
                  <w:sz w:val="16"/>
                </w:rPr>
                <w:t>Fotografie</w:t>
              </w:r>
            </w:hyperlink>
          </w:p>
        </w:tc>
      </w:tr>
    </w:tbl>
    <w:p w14:paraId="639F3B86" w14:textId="11EC656C" w:rsidR="00D64538" w:rsidRPr="009C5A9F" w:rsidRDefault="00D64538" w:rsidP="00D64538">
      <w:pPr>
        <w:spacing w:line="360" w:lineRule="auto"/>
        <w:jc w:val="both"/>
        <w:rPr>
          <w:rFonts w:ascii="Verdana" w:hAnsi="Verdana"/>
          <w:sz w:val="16"/>
          <w:szCs w:val="16"/>
          <w:lang w:eastAsia="cs-CZ"/>
        </w:rPr>
      </w:pPr>
      <w:r w:rsidRPr="009C5A9F">
        <w:rPr>
          <w:rFonts w:ascii="Verdana" w:hAnsi="Verdana"/>
          <w:sz w:val="16"/>
          <w:szCs w:val="16"/>
          <w:lang w:eastAsia="cs-CZ"/>
        </w:rPr>
        <w:t xml:space="preserve">Uzávěrka statistických dat: </w:t>
      </w:r>
      <w:r w:rsidR="00057527">
        <w:rPr>
          <w:rFonts w:ascii="Verdana" w:hAnsi="Verdana"/>
          <w:sz w:val="16"/>
          <w:szCs w:val="16"/>
          <w:lang w:eastAsia="cs-CZ"/>
        </w:rPr>
        <w:t>2.2</w:t>
      </w:r>
      <w:r w:rsidRPr="009C5A9F">
        <w:rPr>
          <w:rFonts w:ascii="Verdana" w:hAnsi="Verdana"/>
          <w:sz w:val="16"/>
          <w:szCs w:val="16"/>
          <w:lang w:eastAsia="cs-CZ"/>
        </w:rPr>
        <w:t>.202</w:t>
      </w:r>
      <w:r w:rsidR="00EA7152">
        <w:rPr>
          <w:rFonts w:ascii="Verdana" w:hAnsi="Verdana"/>
          <w:sz w:val="16"/>
          <w:szCs w:val="16"/>
          <w:lang w:eastAsia="cs-CZ"/>
        </w:rPr>
        <w:t>4</w:t>
      </w:r>
    </w:p>
    <w:p w14:paraId="3F01DD86" w14:textId="77777777" w:rsidR="00C63A3C" w:rsidRPr="009C5A9F" w:rsidRDefault="00C63A3C" w:rsidP="00D64538">
      <w:pPr>
        <w:spacing w:line="360" w:lineRule="auto"/>
        <w:jc w:val="both"/>
        <w:rPr>
          <w:rFonts w:ascii="Verdana" w:hAnsi="Verdana"/>
          <w:sz w:val="16"/>
          <w:szCs w:val="16"/>
          <w:lang w:eastAsia="cs-CZ"/>
        </w:rPr>
      </w:pPr>
    </w:p>
    <w:sectPr w:rsidR="00C63A3C" w:rsidRPr="009C5A9F" w:rsidSect="005068D0">
      <w:pgSz w:w="11906" w:h="16838"/>
      <w:pgMar w:top="720" w:right="720" w:bottom="1701" w:left="720" w:header="567"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BE96" w14:textId="77777777" w:rsidR="005068D0" w:rsidRDefault="005068D0" w:rsidP="00605702">
      <w:pPr>
        <w:spacing w:after="0" w:line="240" w:lineRule="auto"/>
      </w:pPr>
      <w:r>
        <w:separator/>
      </w:r>
    </w:p>
  </w:endnote>
  <w:endnote w:type="continuationSeparator" w:id="0">
    <w:p w14:paraId="46DF97C2" w14:textId="77777777" w:rsidR="005068D0" w:rsidRDefault="005068D0" w:rsidP="0060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xa Text">
    <w:altName w:val="Arial"/>
    <w:panose1 w:val="00000000000000000000"/>
    <w:charset w:val="00"/>
    <w:family w:val="modern"/>
    <w:notTrueType/>
    <w:pitch w:val="variable"/>
    <w:sig w:usb0="80000207" w:usb1="00000073" w:usb2="00000000" w:usb3="00000000" w:csb0="00000097" w:csb1="00000000"/>
  </w:font>
  <w:font w:name="Roboto">
    <w:charset w:val="00"/>
    <w:family w:val="auto"/>
    <w:pitch w:val="variable"/>
    <w:sig w:usb0="E0000AFF" w:usb1="5000217F" w:usb2="00000021" w:usb3="00000000" w:csb0="0000019F" w:csb1="00000000"/>
  </w:font>
  <w:font w:name="Nexa Extra Bold">
    <w:altName w:val="Arial"/>
    <w:panose1 w:val="00000000000000000000"/>
    <w:charset w:val="00"/>
    <w:family w:val="modern"/>
    <w:notTrueType/>
    <w:pitch w:val="variable"/>
    <w:sig w:usb0="80000207" w:usb1="00000073" w:usb2="00000000" w:usb3="00000000" w:csb0="00000097"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975989515"/>
      <w:docPartObj>
        <w:docPartGallery w:val="Page Numbers (Bottom of Page)"/>
        <w:docPartUnique/>
      </w:docPartObj>
    </w:sdtPr>
    <w:sdtContent>
      <w:p w14:paraId="24489106" w14:textId="3D7FA38C" w:rsidR="000A4CDF" w:rsidRPr="004C02B7" w:rsidRDefault="000A4CDF">
        <w:pPr>
          <w:pStyle w:val="Zpat"/>
          <w:jc w:val="center"/>
          <w:rPr>
            <w:rFonts w:ascii="Verdana" w:hAnsi="Verdana"/>
          </w:rPr>
        </w:pPr>
        <w:r w:rsidRPr="004C02B7">
          <w:rPr>
            <w:rFonts w:ascii="Verdana" w:hAnsi="Verdana"/>
          </w:rPr>
          <w:fldChar w:fldCharType="begin"/>
        </w:r>
        <w:r w:rsidRPr="004C02B7">
          <w:rPr>
            <w:rFonts w:ascii="Verdana" w:hAnsi="Verdana"/>
          </w:rPr>
          <w:instrText>PAGE   \* MERGEFORMAT</w:instrText>
        </w:r>
        <w:r w:rsidRPr="004C02B7">
          <w:rPr>
            <w:rFonts w:ascii="Verdana" w:hAnsi="Verdana"/>
          </w:rPr>
          <w:fldChar w:fldCharType="separate"/>
        </w:r>
        <w:r w:rsidR="00057527">
          <w:rPr>
            <w:rFonts w:ascii="Verdana" w:hAnsi="Verdana"/>
            <w:noProof/>
          </w:rPr>
          <w:t>2</w:t>
        </w:r>
        <w:r w:rsidRPr="004C02B7">
          <w:rPr>
            <w:rFonts w:ascii="Verdana" w:hAnsi="Verdana"/>
          </w:rPr>
          <w:fldChar w:fldCharType="end"/>
        </w:r>
      </w:p>
    </w:sdtContent>
  </w:sdt>
  <w:p w14:paraId="32F92566" w14:textId="77777777" w:rsidR="000A4CDF" w:rsidRPr="004C02B7" w:rsidRDefault="000A4CDF">
    <w:pPr>
      <w:pStyle w:val="Zpat"/>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6EEF" w14:textId="77777777" w:rsidR="005068D0" w:rsidRDefault="005068D0" w:rsidP="00605702">
      <w:pPr>
        <w:spacing w:after="0" w:line="240" w:lineRule="auto"/>
      </w:pPr>
      <w:r>
        <w:separator/>
      </w:r>
    </w:p>
  </w:footnote>
  <w:footnote w:type="continuationSeparator" w:id="0">
    <w:p w14:paraId="059D8B90" w14:textId="77777777" w:rsidR="005068D0" w:rsidRDefault="005068D0" w:rsidP="00605702">
      <w:pPr>
        <w:spacing w:after="0" w:line="240" w:lineRule="auto"/>
      </w:pPr>
      <w:r>
        <w:continuationSeparator/>
      </w:r>
    </w:p>
  </w:footnote>
  <w:footnote w:id="1">
    <w:p w14:paraId="45E69A3F" w14:textId="23D4812F" w:rsidR="00057527" w:rsidRDefault="00057527">
      <w:pPr>
        <w:pStyle w:val="Textpoznpodarou"/>
      </w:pPr>
      <w:r w:rsidRPr="00057527">
        <w:rPr>
          <w:rStyle w:val="Znakapoznpodarou"/>
          <w:sz w:val="16"/>
        </w:rPr>
        <w:footnoteRef/>
      </w:r>
      <w:r w:rsidRPr="00057527">
        <w:rPr>
          <w:sz w:val="16"/>
        </w:rPr>
        <w:t xml:space="preserve"> V rámci zjednodušení předpokládáme kompletní průsak změn DPH do konečných cen.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5421" w14:textId="1BFA9995" w:rsidR="000A4CDF" w:rsidRPr="006A0D7B" w:rsidRDefault="000A4CDF" w:rsidP="00E63AFF">
    <w:pPr>
      <w:pStyle w:val="Nadpis1"/>
      <w:rPr>
        <w:rFonts w:ascii="Verdana" w:eastAsiaTheme="minorHAnsi" w:hAnsi="Verdana" w:cs="Arial"/>
        <w:color w:val="FFC832"/>
        <w:sz w:val="36"/>
        <w:szCs w:val="36"/>
      </w:rPr>
    </w:pPr>
    <w:r w:rsidRPr="004874EA">
      <w:rPr>
        <w:rFonts w:ascii="Verdana" w:hAnsi="Verdana"/>
        <w:noProof/>
      </w:rPr>
      <w:drawing>
        <wp:anchor distT="0" distB="0" distL="114300" distR="114300" simplePos="0" relativeHeight="251657216" behindDoc="1" locked="0" layoutInCell="1" allowOverlap="1" wp14:anchorId="46188CC1" wp14:editId="36DCB240">
          <wp:simplePos x="0" y="0"/>
          <wp:positionH relativeFrom="column">
            <wp:posOffset>5199380</wp:posOffset>
          </wp:positionH>
          <wp:positionV relativeFrom="paragraph">
            <wp:posOffset>10795</wp:posOffset>
          </wp:positionV>
          <wp:extent cx="1553919" cy="300424"/>
          <wp:effectExtent l="0" t="0" r="8255"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YRRU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3919" cy="300424"/>
                  </a:xfrm>
                  <a:prstGeom prst="rect">
                    <a:avLst/>
                  </a:prstGeom>
                  <a:noFill/>
                </pic:spPr>
              </pic:pic>
            </a:graphicData>
          </a:graphic>
          <wp14:sizeRelH relativeFrom="page">
            <wp14:pctWidth>0</wp14:pctWidth>
          </wp14:sizeRelH>
          <wp14:sizeRelV relativeFrom="page">
            <wp14:pctHeight>0</wp14:pctHeight>
          </wp14:sizeRelV>
        </wp:anchor>
      </w:drawing>
    </w:r>
    <w:r w:rsidRPr="004874EA">
      <w:rPr>
        <w:rFonts w:ascii="Verdana" w:eastAsiaTheme="minorHAnsi" w:hAnsi="Verdana" w:cs="Arial"/>
        <w:color w:val="FFC832"/>
        <w:sz w:val="36"/>
        <w:szCs w:val="36"/>
      </w:rPr>
      <w:t>Analýza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0ED1"/>
    <w:multiLevelType w:val="hybridMultilevel"/>
    <w:tmpl w:val="A6385672"/>
    <w:lvl w:ilvl="0" w:tplc="C4B02354">
      <w:start w:val="19"/>
      <w:numFmt w:val="decimal"/>
      <w:lvlText w:val="%1"/>
      <w:lvlJc w:val="left"/>
      <w:pPr>
        <w:ind w:left="720" w:hanging="360"/>
      </w:pPr>
      <w:rPr>
        <w:rFonts w:ascii="Calibri" w:hAnsi="Calibri" w:cs="Calibri"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E192D"/>
    <w:multiLevelType w:val="hybridMultilevel"/>
    <w:tmpl w:val="306040F6"/>
    <w:lvl w:ilvl="0" w:tplc="9D4CE74C">
      <w:start w:val="1"/>
      <w:numFmt w:val="bullet"/>
      <w:lvlText w:val="-"/>
      <w:lvlJc w:val="left"/>
      <w:pPr>
        <w:ind w:left="770" w:hanging="360"/>
      </w:pPr>
      <w:rPr>
        <w:rFonts w:ascii="Source Sans Pro" w:hAnsi="Source Sans Pro" w:hint="default"/>
        <w:b/>
        <w:i w:val="0"/>
        <w:color w:val="F47929" w:themeColor="text2"/>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15:restartNumberingAfterBreak="0">
    <w:nsid w:val="089A339D"/>
    <w:multiLevelType w:val="hybridMultilevel"/>
    <w:tmpl w:val="1474F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FA3E07"/>
    <w:multiLevelType w:val="hybridMultilevel"/>
    <w:tmpl w:val="C6C8585E"/>
    <w:lvl w:ilvl="0" w:tplc="EB769EC0">
      <w:numFmt w:val="bullet"/>
      <w:lvlText w:val="-"/>
      <w:lvlJc w:val="left"/>
      <w:pPr>
        <w:ind w:left="720" w:hanging="360"/>
      </w:pPr>
      <w:rPr>
        <w:rFonts w:ascii="Nexa Text" w:eastAsiaTheme="minorHAnsi" w:hAnsi="Nexa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751293"/>
    <w:multiLevelType w:val="hybridMultilevel"/>
    <w:tmpl w:val="67189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570E07"/>
    <w:multiLevelType w:val="hybridMultilevel"/>
    <w:tmpl w:val="92C2BF96"/>
    <w:lvl w:ilvl="0" w:tplc="9E8E5604">
      <w:start w:val="1"/>
      <w:numFmt w:val="bullet"/>
      <w:lvlText w:val=""/>
      <w:lvlJc w:val="left"/>
      <w:pPr>
        <w:ind w:left="720" w:hanging="72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E96336"/>
    <w:multiLevelType w:val="hybridMultilevel"/>
    <w:tmpl w:val="1474F2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CF674E"/>
    <w:multiLevelType w:val="hybridMultilevel"/>
    <w:tmpl w:val="DF5206E0"/>
    <w:lvl w:ilvl="0" w:tplc="5D12D01E">
      <w:start w:val="1"/>
      <w:numFmt w:val="bullet"/>
      <w:lvlText w:val=""/>
      <w:lvlJc w:val="left"/>
      <w:pPr>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72765D"/>
    <w:multiLevelType w:val="hybridMultilevel"/>
    <w:tmpl w:val="9726F3A4"/>
    <w:lvl w:ilvl="0" w:tplc="4E74218E">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5A45D9"/>
    <w:multiLevelType w:val="hybridMultilevel"/>
    <w:tmpl w:val="ABC8919C"/>
    <w:lvl w:ilvl="0" w:tplc="36861C36">
      <w:numFmt w:val="bullet"/>
      <w:lvlText w:val="-"/>
      <w:lvlJc w:val="left"/>
      <w:pPr>
        <w:ind w:left="720" w:hanging="360"/>
      </w:pPr>
      <w:rPr>
        <w:rFonts w:ascii="Nexa Text" w:eastAsiaTheme="minorHAnsi" w:hAnsi="Nexa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2F2626"/>
    <w:multiLevelType w:val="hybridMultilevel"/>
    <w:tmpl w:val="59D25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BC57D6"/>
    <w:multiLevelType w:val="hybridMultilevel"/>
    <w:tmpl w:val="635AD884"/>
    <w:lvl w:ilvl="0" w:tplc="54B05ED4">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F661D8"/>
    <w:multiLevelType w:val="hybridMultilevel"/>
    <w:tmpl w:val="CAA6C056"/>
    <w:lvl w:ilvl="0" w:tplc="9D4CE74C">
      <w:start w:val="1"/>
      <w:numFmt w:val="bullet"/>
      <w:lvlText w:val="-"/>
      <w:lvlJc w:val="left"/>
      <w:pPr>
        <w:ind w:left="720" w:hanging="360"/>
      </w:pPr>
      <w:rPr>
        <w:rFonts w:ascii="Source Sans Pro" w:hAnsi="Source Sans Pro" w:hint="default"/>
        <w:b/>
        <w:i w:val="0"/>
        <w:color w:val="F47929" w:themeColor="tex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B774D4D"/>
    <w:multiLevelType w:val="hybridMultilevel"/>
    <w:tmpl w:val="70FE4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1510809">
    <w:abstractNumId w:val="8"/>
  </w:num>
  <w:num w:numId="2" w16cid:durableId="2045011137">
    <w:abstractNumId w:val="13"/>
  </w:num>
  <w:num w:numId="3" w16cid:durableId="159152749">
    <w:abstractNumId w:val="12"/>
  </w:num>
  <w:num w:numId="4" w16cid:durableId="1702123066">
    <w:abstractNumId w:val="1"/>
  </w:num>
  <w:num w:numId="5" w16cid:durableId="288898852">
    <w:abstractNumId w:val="10"/>
  </w:num>
  <w:num w:numId="6" w16cid:durableId="1911695717">
    <w:abstractNumId w:val="9"/>
  </w:num>
  <w:num w:numId="7" w16cid:durableId="761493987">
    <w:abstractNumId w:val="3"/>
  </w:num>
  <w:num w:numId="8" w16cid:durableId="1504468008">
    <w:abstractNumId w:val="4"/>
  </w:num>
  <w:num w:numId="9" w16cid:durableId="1431464617">
    <w:abstractNumId w:val="5"/>
  </w:num>
  <w:num w:numId="10" w16cid:durableId="318191288">
    <w:abstractNumId w:val="7"/>
  </w:num>
  <w:num w:numId="11" w16cid:durableId="502473719">
    <w:abstractNumId w:val="6"/>
  </w:num>
  <w:num w:numId="12" w16cid:durableId="1599479920">
    <w:abstractNumId w:val="11"/>
  </w:num>
  <w:num w:numId="13" w16cid:durableId="1348409253">
    <w:abstractNumId w:val="2"/>
  </w:num>
  <w:num w:numId="14" w16cid:durableId="180901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DE"/>
    <w:rsid w:val="00021FFE"/>
    <w:rsid w:val="00025647"/>
    <w:rsid w:val="00025B8E"/>
    <w:rsid w:val="0004396C"/>
    <w:rsid w:val="000463AA"/>
    <w:rsid w:val="00050675"/>
    <w:rsid w:val="000516C4"/>
    <w:rsid w:val="00057527"/>
    <w:rsid w:val="00060AD9"/>
    <w:rsid w:val="000740C8"/>
    <w:rsid w:val="00080328"/>
    <w:rsid w:val="00080862"/>
    <w:rsid w:val="000A03F9"/>
    <w:rsid w:val="000A13FB"/>
    <w:rsid w:val="000A2BD4"/>
    <w:rsid w:val="000A4CDF"/>
    <w:rsid w:val="000B40A8"/>
    <w:rsid w:val="000B5FCC"/>
    <w:rsid w:val="000B7462"/>
    <w:rsid w:val="000C7EC4"/>
    <w:rsid w:val="000E2216"/>
    <w:rsid w:val="000E4833"/>
    <w:rsid w:val="000E7350"/>
    <w:rsid w:val="000F003F"/>
    <w:rsid w:val="000F0A0B"/>
    <w:rsid w:val="000F1556"/>
    <w:rsid w:val="00105262"/>
    <w:rsid w:val="00105F42"/>
    <w:rsid w:val="001074FB"/>
    <w:rsid w:val="00107B7C"/>
    <w:rsid w:val="00112B06"/>
    <w:rsid w:val="00120019"/>
    <w:rsid w:val="00126815"/>
    <w:rsid w:val="00132B08"/>
    <w:rsid w:val="00132FF3"/>
    <w:rsid w:val="00152759"/>
    <w:rsid w:val="001624B3"/>
    <w:rsid w:val="0016562E"/>
    <w:rsid w:val="0018494C"/>
    <w:rsid w:val="001A3BF8"/>
    <w:rsid w:val="001B0CDB"/>
    <w:rsid w:val="001B5AA0"/>
    <w:rsid w:val="001C1CA8"/>
    <w:rsid w:val="001C649B"/>
    <w:rsid w:val="001C718D"/>
    <w:rsid w:val="001D211F"/>
    <w:rsid w:val="001D426E"/>
    <w:rsid w:val="001E1615"/>
    <w:rsid w:val="001E6C3E"/>
    <w:rsid w:val="001E6E62"/>
    <w:rsid w:val="001F66E3"/>
    <w:rsid w:val="00201E8A"/>
    <w:rsid w:val="00202AC7"/>
    <w:rsid w:val="002030DE"/>
    <w:rsid w:val="00205EC9"/>
    <w:rsid w:val="002067BB"/>
    <w:rsid w:val="002069B1"/>
    <w:rsid w:val="00211D28"/>
    <w:rsid w:val="00212218"/>
    <w:rsid w:val="00213745"/>
    <w:rsid w:val="0021570E"/>
    <w:rsid w:val="00216737"/>
    <w:rsid w:val="00223171"/>
    <w:rsid w:val="002238AD"/>
    <w:rsid w:val="00224113"/>
    <w:rsid w:val="00224765"/>
    <w:rsid w:val="00225720"/>
    <w:rsid w:val="00226584"/>
    <w:rsid w:val="00233F18"/>
    <w:rsid w:val="0023536F"/>
    <w:rsid w:val="00237318"/>
    <w:rsid w:val="002518E5"/>
    <w:rsid w:val="00253EBB"/>
    <w:rsid w:val="00257481"/>
    <w:rsid w:val="00261B03"/>
    <w:rsid w:val="00265FCD"/>
    <w:rsid w:val="002760ED"/>
    <w:rsid w:val="0027787B"/>
    <w:rsid w:val="00281EE0"/>
    <w:rsid w:val="002857A3"/>
    <w:rsid w:val="00290770"/>
    <w:rsid w:val="00295B81"/>
    <w:rsid w:val="00297B6D"/>
    <w:rsid w:val="002A5F0B"/>
    <w:rsid w:val="002B3AA3"/>
    <w:rsid w:val="002B3F70"/>
    <w:rsid w:val="002B48CC"/>
    <w:rsid w:val="002C1A8D"/>
    <w:rsid w:val="002C43A1"/>
    <w:rsid w:val="002D0788"/>
    <w:rsid w:val="002D3F8A"/>
    <w:rsid w:val="002E222D"/>
    <w:rsid w:val="002E577E"/>
    <w:rsid w:val="002F06B0"/>
    <w:rsid w:val="002F3A57"/>
    <w:rsid w:val="002F7416"/>
    <w:rsid w:val="00303103"/>
    <w:rsid w:val="003103C7"/>
    <w:rsid w:val="00311BBC"/>
    <w:rsid w:val="00311C73"/>
    <w:rsid w:val="00314B23"/>
    <w:rsid w:val="00315366"/>
    <w:rsid w:val="00317CC4"/>
    <w:rsid w:val="00320A11"/>
    <w:rsid w:val="00324D55"/>
    <w:rsid w:val="00331927"/>
    <w:rsid w:val="00332635"/>
    <w:rsid w:val="00336DF1"/>
    <w:rsid w:val="00343C11"/>
    <w:rsid w:val="003630E6"/>
    <w:rsid w:val="00364C2D"/>
    <w:rsid w:val="00364C7F"/>
    <w:rsid w:val="00367AB0"/>
    <w:rsid w:val="00374DBE"/>
    <w:rsid w:val="00381E65"/>
    <w:rsid w:val="003838B3"/>
    <w:rsid w:val="00393C79"/>
    <w:rsid w:val="003961A5"/>
    <w:rsid w:val="003A1C1C"/>
    <w:rsid w:val="003A3E9A"/>
    <w:rsid w:val="003A580C"/>
    <w:rsid w:val="003B0F0D"/>
    <w:rsid w:val="003B61CA"/>
    <w:rsid w:val="003B6D90"/>
    <w:rsid w:val="003C4956"/>
    <w:rsid w:val="003C7EC0"/>
    <w:rsid w:val="003F1F5C"/>
    <w:rsid w:val="003F206E"/>
    <w:rsid w:val="003F72AE"/>
    <w:rsid w:val="0040454A"/>
    <w:rsid w:val="00410909"/>
    <w:rsid w:val="004129FA"/>
    <w:rsid w:val="00417717"/>
    <w:rsid w:val="00420747"/>
    <w:rsid w:val="00421537"/>
    <w:rsid w:val="00421D5F"/>
    <w:rsid w:val="00422445"/>
    <w:rsid w:val="00422F7C"/>
    <w:rsid w:val="004457D9"/>
    <w:rsid w:val="00461831"/>
    <w:rsid w:val="00470B3A"/>
    <w:rsid w:val="00475AB1"/>
    <w:rsid w:val="00483608"/>
    <w:rsid w:val="004874EA"/>
    <w:rsid w:val="004928ED"/>
    <w:rsid w:val="00495056"/>
    <w:rsid w:val="004A53F4"/>
    <w:rsid w:val="004B4A3F"/>
    <w:rsid w:val="004C02B7"/>
    <w:rsid w:val="004C5C4B"/>
    <w:rsid w:val="004C781F"/>
    <w:rsid w:val="004D344F"/>
    <w:rsid w:val="004F0295"/>
    <w:rsid w:val="005068D0"/>
    <w:rsid w:val="00511D6F"/>
    <w:rsid w:val="00512185"/>
    <w:rsid w:val="005141FC"/>
    <w:rsid w:val="00520695"/>
    <w:rsid w:val="005228AC"/>
    <w:rsid w:val="00524F63"/>
    <w:rsid w:val="00535AF7"/>
    <w:rsid w:val="005553CC"/>
    <w:rsid w:val="005701D0"/>
    <w:rsid w:val="00576CC1"/>
    <w:rsid w:val="005841B3"/>
    <w:rsid w:val="0059171F"/>
    <w:rsid w:val="00593E70"/>
    <w:rsid w:val="005A0757"/>
    <w:rsid w:val="005B15ED"/>
    <w:rsid w:val="005B5EEB"/>
    <w:rsid w:val="005C3BFC"/>
    <w:rsid w:val="005F0C9A"/>
    <w:rsid w:val="00600BF6"/>
    <w:rsid w:val="006040EA"/>
    <w:rsid w:val="00605702"/>
    <w:rsid w:val="00606E76"/>
    <w:rsid w:val="00607F26"/>
    <w:rsid w:val="00620CC1"/>
    <w:rsid w:val="00627EAB"/>
    <w:rsid w:val="0063356F"/>
    <w:rsid w:val="0064000F"/>
    <w:rsid w:val="00640C91"/>
    <w:rsid w:val="006462C9"/>
    <w:rsid w:val="0064695A"/>
    <w:rsid w:val="00647CBF"/>
    <w:rsid w:val="0065500F"/>
    <w:rsid w:val="0065552E"/>
    <w:rsid w:val="006560F4"/>
    <w:rsid w:val="006642B2"/>
    <w:rsid w:val="00684DDF"/>
    <w:rsid w:val="00685B93"/>
    <w:rsid w:val="00687909"/>
    <w:rsid w:val="006A0D7B"/>
    <w:rsid w:val="006A36C1"/>
    <w:rsid w:val="006A4BCD"/>
    <w:rsid w:val="006B0018"/>
    <w:rsid w:val="006B0B8C"/>
    <w:rsid w:val="006B2C9D"/>
    <w:rsid w:val="006B330E"/>
    <w:rsid w:val="006B4745"/>
    <w:rsid w:val="006C15F8"/>
    <w:rsid w:val="006C1BCE"/>
    <w:rsid w:val="006E18FA"/>
    <w:rsid w:val="006E55CA"/>
    <w:rsid w:val="006E6736"/>
    <w:rsid w:val="006F2AF4"/>
    <w:rsid w:val="007020FE"/>
    <w:rsid w:val="00702923"/>
    <w:rsid w:val="00715F4D"/>
    <w:rsid w:val="00723AF2"/>
    <w:rsid w:val="00723F0C"/>
    <w:rsid w:val="00724EB5"/>
    <w:rsid w:val="00743DDD"/>
    <w:rsid w:val="00754FD0"/>
    <w:rsid w:val="007644BC"/>
    <w:rsid w:val="0077048A"/>
    <w:rsid w:val="00776B31"/>
    <w:rsid w:val="00776D65"/>
    <w:rsid w:val="00781BAF"/>
    <w:rsid w:val="00783DEA"/>
    <w:rsid w:val="00792E2A"/>
    <w:rsid w:val="007A024E"/>
    <w:rsid w:val="007A209B"/>
    <w:rsid w:val="007B2C97"/>
    <w:rsid w:val="007C2F6E"/>
    <w:rsid w:val="007C32BA"/>
    <w:rsid w:val="007D2B7C"/>
    <w:rsid w:val="007D2C90"/>
    <w:rsid w:val="007D4394"/>
    <w:rsid w:val="007D70DD"/>
    <w:rsid w:val="007E58EA"/>
    <w:rsid w:val="007E6A43"/>
    <w:rsid w:val="007F0B04"/>
    <w:rsid w:val="007F2B6D"/>
    <w:rsid w:val="007F4FFC"/>
    <w:rsid w:val="0080693F"/>
    <w:rsid w:val="008076BE"/>
    <w:rsid w:val="008125F8"/>
    <w:rsid w:val="00815E01"/>
    <w:rsid w:val="00820A7E"/>
    <w:rsid w:val="008274D4"/>
    <w:rsid w:val="00830520"/>
    <w:rsid w:val="00842547"/>
    <w:rsid w:val="00857CD9"/>
    <w:rsid w:val="00863144"/>
    <w:rsid w:val="008658F1"/>
    <w:rsid w:val="00865C22"/>
    <w:rsid w:val="00872F87"/>
    <w:rsid w:val="00877D76"/>
    <w:rsid w:val="008969A5"/>
    <w:rsid w:val="008A0F57"/>
    <w:rsid w:val="008A5174"/>
    <w:rsid w:val="008B02AC"/>
    <w:rsid w:val="008B1E2B"/>
    <w:rsid w:val="008B489C"/>
    <w:rsid w:val="008C090A"/>
    <w:rsid w:val="008C11D4"/>
    <w:rsid w:val="008C15D9"/>
    <w:rsid w:val="008D183F"/>
    <w:rsid w:val="008D212B"/>
    <w:rsid w:val="008E612B"/>
    <w:rsid w:val="009045C2"/>
    <w:rsid w:val="00904BAC"/>
    <w:rsid w:val="00904DAA"/>
    <w:rsid w:val="00906AF7"/>
    <w:rsid w:val="0091267A"/>
    <w:rsid w:val="00920450"/>
    <w:rsid w:val="009257A9"/>
    <w:rsid w:val="00925BF7"/>
    <w:rsid w:val="00926383"/>
    <w:rsid w:val="00926BE1"/>
    <w:rsid w:val="00941305"/>
    <w:rsid w:val="00941FBD"/>
    <w:rsid w:val="00951B9A"/>
    <w:rsid w:val="00972402"/>
    <w:rsid w:val="009745D7"/>
    <w:rsid w:val="009751FB"/>
    <w:rsid w:val="00980DB9"/>
    <w:rsid w:val="0098311D"/>
    <w:rsid w:val="0098560E"/>
    <w:rsid w:val="009876B8"/>
    <w:rsid w:val="0099354B"/>
    <w:rsid w:val="00993D93"/>
    <w:rsid w:val="00997F5C"/>
    <w:rsid w:val="009A1CD3"/>
    <w:rsid w:val="009B20B1"/>
    <w:rsid w:val="009B5949"/>
    <w:rsid w:val="009B595B"/>
    <w:rsid w:val="009C5A9F"/>
    <w:rsid w:val="009C5E04"/>
    <w:rsid w:val="009D0819"/>
    <w:rsid w:val="009D4FCD"/>
    <w:rsid w:val="009F1029"/>
    <w:rsid w:val="00A03B09"/>
    <w:rsid w:val="00A07CB4"/>
    <w:rsid w:val="00A208AC"/>
    <w:rsid w:val="00A236E5"/>
    <w:rsid w:val="00A33605"/>
    <w:rsid w:val="00A42961"/>
    <w:rsid w:val="00A435FF"/>
    <w:rsid w:val="00A44949"/>
    <w:rsid w:val="00A47FAA"/>
    <w:rsid w:val="00A54C52"/>
    <w:rsid w:val="00A56B04"/>
    <w:rsid w:val="00A574B8"/>
    <w:rsid w:val="00A63F7C"/>
    <w:rsid w:val="00A6787C"/>
    <w:rsid w:val="00A75A3C"/>
    <w:rsid w:val="00A808C4"/>
    <w:rsid w:val="00A81BE9"/>
    <w:rsid w:val="00A81E49"/>
    <w:rsid w:val="00A909D9"/>
    <w:rsid w:val="00A90E95"/>
    <w:rsid w:val="00A928E2"/>
    <w:rsid w:val="00A940BF"/>
    <w:rsid w:val="00AA34C0"/>
    <w:rsid w:val="00AA40B7"/>
    <w:rsid w:val="00AB1AB4"/>
    <w:rsid w:val="00AB1EE7"/>
    <w:rsid w:val="00AB59D1"/>
    <w:rsid w:val="00AC1328"/>
    <w:rsid w:val="00AC1BED"/>
    <w:rsid w:val="00AD3F63"/>
    <w:rsid w:val="00AD7FAD"/>
    <w:rsid w:val="00AE2F60"/>
    <w:rsid w:val="00AE41EF"/>
    <w:rsid w:val="00AE616A"/>
    <w:rsid w:val="00AE6810"/>
    <w:rsid w:val="00B13000"/>
    <w:rsid w:val="00B142EB"/>
    <w:rsid w:val="00B15547"/>
    <w:rsid w:val="00B17EF6"/>
    <w:rsid w:val="00B30D9F"/>
    <w:rsid w:val="00B3223B"/>
    <w:rsid w:val="00B333BC"/>
    <w:rsid w:val="00B348F4"/>
    <w:rsid w:val="00B43054"/>
    <w:rsid w:val="00B43FDE"/>
    <w:rsid w:val="00B53907"/>
    <w:rsid w:val="00B55853"/>
    <w:rsid w:val="00B60F41"/>
    <w:rsid w:val="00B700F2"/>
    <w:rsid w:val="00B71A42"/>
    <w:rsid w:val="00B72B91"/>
    <w:rsid w:val="00B809D6"/>
    <w:rsid w:val="00B812F5"/>
    <w:rsid w:val="00B82807"/>
    <w:rsid w:val="00B86933"/>
    <w:rsid w:val="00B91CD9"/>
    <w:rsid w:val="00B94416"/>
    <w:rsid w:val="00B95FFB"/>
    <w:rsid w:val="00B960CE"/>
    <w:rsid w:val="00B960D4"/>
    <w:rsid w:val="00BA68E7"/>
    <w:rsid w:val="00BC1CD2"/>
    <w:rsid w:val="00BD2D44"/>
    <w:rsid w:val="00BF0523"/>
    <w:rsid w:val="00BF0647"/>
    <w:rsid w:val="00BF3436"/>
    <w:rsid w:val="00BF6FE0"/>
    <w:rsid w:val="00C11428"/>
    <w:rsid w:val="00C12E92"/>
    <w:rsid w:val="00C229A9"/>
    <w:rsid w:val="00C27147"/>
    <w:rsid w:val="00C36E42"/>
    <w:rsid w:val="00C44373"/>
    <w:rsid w:val="00C4736C"/>
    <w:rsid w:val="00C537B8"/>
    <w:rsid w:val="00C55EAB"/>
    <w:rsid w:val="00C63A3C"/>
    <w:rsid w:val="00C71BA5"/>
    <w:rsid w:val="00C732BA"/>
    <w:rsid w:val="00C756E6"/>
    <w:rsid w:val="00C81A45"/>
    <w:rsid w:val="00C82E0C"/>
    <w:rsid w:val="00C8580B"/>
    <w:rsid w:val="00C90383"/>
    <w:rsid w:val="00C90AFF"/>
    <w:rsid w:val="00CA0914"/>
    <w:rsid w:val="00CA22CA"/>
    <w:rsid w:val="00CA4224"/>
    <w:rsid w:val="00CB0113"/>
    <w:rsid w:val="00CB6F69"/>
    <w:rsid w:val="00CC169C"/>
    <w:rsid w:val="00CC2321"/>
    <w:rsid w:val="00CC323B"/>
    <w:rsid w:val="00CC7DB7"/>
    <w:rsid w:val="00CD6427"/>
    <w:rsid w:val="00CE494E"/>
    <w:rsid w:val="00CE5822"/>
    <w:rsid w:val="00CF010E"/>
    <w:rsid w:val="00CF6C4A"/>
    <w:rsid w:val="00D01AF2"/>
    <w:rsid w:val="00D01EA4"/>
    <w:rsid w:val="00D03598"/>
    <w:rsid w:val="00D03FBE"/>
    <w:rsid w:val="00D10C5E"/>
    <w:rsid w:val="00D15F9C"/>
    <w:rsid w:val="00D4618A"/>
    <w:rsid w:val="00D54491"/>
    <w:rsid w:val="00D5715D"/>
    <w:rsid w:val="00D64538"/>
    <w:rsid w:val="00D915F3"/>
    <w:rsid w:val="00D93C41"/>
    <w:rsid w:val="00D97558"/>
    <w:rsid w:val="00D97EC9"/>
    <w:rsid w:val="00DA0755"/>
    <w:rsid w:val="00DA62B6"/>
    <w:rsid w:val="00DB5359"/>
    <w:rsid w:val="00DB543C"/>
    <w:rsid w:val="00DD3177"/>
    <w:rsid w:val="00DD72D3"/>
    <w:rsid w:val="00DE0EDC"/>
    <w:rsid w:val="00DE1105"/>
    <w:rsid w:val="00DE6035"/>
    <w:rsid w:val="00DF0EDF"/>
    <w:rsid w:val="00DF1381"/>
    <w:rsid w:val="00E05B51"/>
    <w:rsid w:val="00E11679"/>
    <w:rsid w:val="00E13091"/>
    <w:rsid w:val="00E2486F"/>
    <w:rsid w:val="00E25928"/>
    <w:rsid w:val="00E3241B"/>
    <w:rsid w:val="00E35270"/>
    <w:rsid w:val="00E4423E"/>
    <w:rsid w:val="00E57F22"/>
    <w:rsid w:val="00E63AFF"/>
    <w:rsid w:val="00E66F9E"/>
    <w:rsid w:val="00E71371"/>
    <w:rsid w:val="00E73D70"/>
    <w:rsid w:val="00E80C93"/>
    <w:rsid w:val="00E94448"/>
    <w:rsid w:val="00EA7152"/>
    <w:rsid w:val="00EB1EA7"/>
    <w:rsid w:val="00EE7AA6"/>
    <w:rsid w:val="00F02181"/>
    <w:rsid w:val="00F20A90"/>
    <w:rsid w:val="00F265B2"/>
    <w:rsid w:val="00F271FF"/>
    <w:rsid w:val="00F272C2"/>
    <w:rsid w:val="00F31081"/>
    <w:rsid w:val="00F320A4"/>
    <w:rsid w:val="00F401F5"/>
    <w:rsid w:val="00F406E5"/>
    <w:rsid w:val="00F41E87"/>
    <w:rsid w:val="00F50ABB"/>
    <w:rsid w:val="00F55743"/>
    <w:rsid w:val="00F60197"/>
    <w:rsid w:val="00F6458F"/>
    <w:rsid w:val="00F6491C"/>
    <w:rsid w:val="00F70750"/>
    <w:rsid w:val="00F7260B"/>
    <w:rsid w:val="00F7795C"/>
    <w:rsid w:val="00F8603F"/>
    <w:rsid w:val="00F914E0"/>
    <w:rsid w:val="00F96A09"/>
    <w:rsid w:val="00FA1023"/>
    <w:rsid w:val="00FA32EB"/>
    <w:rsid w:val="00FA3652"/>
    <w:rsid w:val="00FC295D"/>
    <w:rsid w:val="00FC485F"/>
    <w:rsid w:val="00FC6F2E"/>
    <w:rsid w:val="00FD5B70"/>
    <w:rsid w:val="00FD71AB"/>
    <w:rsid w:val="00FE1608"/>
    <w:rsid w:val="00FE1E22"/>
    <w:rsid w:val="00FF0C0D"/>
    <w:rsid w:val="00FF27AA"/>
    <w:rsid w:val="00FF5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6BF2C"/>
  <w15:chartTrackingRefBased/>
  <w15:docId w15:val="{FD9B89A7-1E5E-4865-9E37-354F1242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737"/>
    <w:rPr>
      <w:sz w:val="18"/>
    </w:rPr>
  </w:style>
  <w:style w:type="paragraph" w:styleId="Nadpis1">
    <w:name w:val="heading 1"/>
    <w:basedOn w:val="Normln"/>
    <w:link w:val="Nadpis1Char"/>
    <w:uiPriority w:val="9"/>
    <w:qFormat/>
    <w:rsid w:val="00AB1AB4"/>
    <w:pPr>
      <w:spacing w:before="100" w:beforeAutospacing="1" w:after="100" w:afterAutospacing="1" w:line="240" w:lineRule="auto"/>
      <w:outlineLvl w:val="0"/>
    </w:pPr>
    <w:rPr>
      <w:rFonts w:asciiTheme="majorHAnsi" w:eastAsia="Times New Roman" w:hAnsiTheme="majorHAnsi" w:cs="Times New Roman"/>
      <w:b/>
      <w:bCs/>
      <w:kern w:val="36"/>
      <w:sz w:val="48"/>
      <w:szCs w:val="48"/>
      <w:lang w:eastAsia="cs-CZ"/>
    </w:rPr>
  </w:style>
  <w:style w:type="paragraph" w:styleId="Nadpis2">
    <w:name w:val="heading 2"/>
    <w:basedOn w:val="Normln"/>
    <w:next w:val="Normln"/>
    <w:link w:val="Nadpis2Char"/>
    <w:uiPriority w:val="9"/>
    <w:unhideWhenUsed/>
    <w:qFormat/>
    <w:rsid w:val="00AB1AB4"/>
    <w:pPr>
      <w:keepNext/>
      <w:keepLines/>
      <w:spacing w:before="40" w:after="0"/>
      <w:outlineLvl w:val="1"/>
    </w:pPr>
    <w:rPr>
      <w:rFonts w:asciiTheme="majorHAnsi" w:eastAsiaTheme="majorEastAsia" w:hAnsiTheme="majorHAnsi" w:cstheme="majorBidi"/>
      <w:sz w:val="32"/>
      <w:szCs w:val="26"/>
    </w:rPr>
  </w:style>
  <w:style w:type="paragraph" w:styleId="Nadpis3">
    <w:name w:val="heading 3"/>
    <w:basedOn w:val="Normln"/>
    <w:next w:val="Normln"/>
    <w:link w:val="Nadpis3Char"/>
    <w:uiPriority w:val="9"/>
    <w:unhideWhenUsed/>
    <w:qFormat/>
    <w:rsid w:val="00AB1AB4"/>
    <w:pPr>
      <w:keepNext/>
      <w:keepLines/>
      <w:spacing w:before="40" w:after="0"/>
      <w:outlineLvl w:val="2"/>
    </w:pPr>
    <w:rPr>
      <w:rFonts w:asciiTheme="majorHAnsi" w:eastAsiaTheme="majorEastAsia" w:hAnsiTheme="majorHAnsi" w:cstheme="majorBidi"/>
      <w:sz w:val="24"/>
      <w:szCs w:val="24"/>
    </w:rPr>
  </w:style>
  <w:style w:type="paragraph" w:styleId="Nadpis4">
    <w:name w:val="heading 4"/>
    <w:basedOn w:val="Normln"/>
    <w:next w:val="Normln"/>
    <w:link w:val="Nadpis4Char"/>
    <w:uiPriority w:val="9"/>
    <w:semiHidden/>
    <w:unhideWhenUsed/>
    <w:rsid w:val="00776D65"/>
    <w:pPr>
      <w:keepNext/>
      <w:keepLines/>
      <w:spacing w:before="40" w:after="0"/>
      <w:outlineLvl w:val="3"/>
    </w:pPr>
    <w:rPr>
      <w:rFonts w:asciiTheme="majorHAnsi" w:eastAsiaTheme="majorEastAsia" w:hAnsiTheme="majorHAnsi" w:cstheme="majorBidi"/>
      <w:i/>
      <w:iCs/>
      <w:color w:val="CA550A"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1AB4"/>
    <w:rPr>
      <w:rFonts w:asciiTheme="majorHAnsi" w:eastAsia="Times New Roman" w:hAnsiTheme="majorHAnsi" w:cs="Times New Roman"/>
      <w:b/>
      <w:bCs/>
      <w:kern w:val="36"/>
      <w:sz w:val="48"/>
      <w:szCs w:val="48"/>
      <w:lang w:eastAsia="cs-CZ"/>
    </w:rPr>
  </w:style>
  <w:style w:type="character" w:styleId="Hypertextovodkaz">
    <w:name w:val="Hyperlink"/>
    <w:basedOn w:val="Standardnpsmoodstavce"/>
    <w:uiPriority w:val="99"/>
    <w:unhideWhenUsed/>
    <w:rsid w:val="00776D65"/>
    <w:rPr>
      <w:color w:val="003C73" w:themeColor="hyperlink"/>
      <w:u w:val="single"/>
    </w:rPr>
  </w:style>
  <w:style w:type="character" w:styleId="Siln">
    <w:name w:val="Strong"/>
    <w:basedOn w:val="Standardnpsmoodstavce"/>
    <w:uiPriority w:val="22"/>
    <w:qFormat/>
    <w:rsid w:val="00776D65"/>
    <w:rPr>
      <w:b/>
      <w:bCs/>
    </w:rPr>
  </w:style>
  <w:style w:type="character" w:customStyle="1" w:styleId="Nadpis2Char">
    <w:name w:val="Nadpis 2 Char"/>
    <w:basedOn w:val="Standardnpsmoodstavce"/>
    <w:link w:val="Nadpis2"/>
    <w:uiPriority w:val="9"/>
    <w:rsid w:val="00AB1AB4"/>
    <w:rPr>
      <w:rFonts w:asciiTheme="majorHAnsi" w:eastAsiaTheme="majorEastAsia" w:hAnsiTheme="majorHAnsi" w:cstheme="majorBidi"/>
      <w:sz w:val="32"/>
      <w:szCs w:val="26"/>
    </w:rPr>
  </w:style>
  <w:style w:type="character" w:customStyle="1" w:styleId="Nadpis4Char">
    <w:name w:val="Nadpis 4 Char"/>
    <w:basedOn w:val="Standardnpsmoodstavce"/>
    <w:link w:val="Nadpis4"/>
    <w:uiPriority w:val="9"/>
    <w:semiHidden/>
    <w:rsid w:val="00776D65"/>
    <w:rPr>
      <w:rFonts w:asciiTheme="majorHAnsi" w:eastAsiaTheme="majorEastAsia" w:hAnsiTheme="majorHAnsi" w:cstheme="majorBidi"/>
      <w:i/>
      <w:iCs/>
      <w:color w:val="CA550A" w:themeColor="accent1" w:themeShade="BF"/>
    </w:rPr>
  </w:style>
  <w:style w:type="paragraph" w:styleId="Odstavecseseznamem">
    <w:name w:val="List Paragraph"/>
    <w:basedOn w:val="Normln"/>
    <w:uiPriority w:val="34"/>
    <w:qFormat/>
    <w:rsid w:val="00776D65"/>
    <w:pPr>
      <w:ind w:left="720"/>
      <w:contextualSpacing/>
    </w:pPr>
  </w:style>
  <w:style w:type="paragraph" w:styleId="Zhlav">
    <w:name w:val="header"/>
    <w:basedOn w:val="Normln"/>
    <w:link w:val="ZhlavChar"/>
    <w:uiPriority w:val="99"/>
    <w:unhideWhenUsed/>
    <w:rsid w:val="006057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5702"/>
  </w:style>
  <w:style w:type="paragraph" w:styleId="Zpat">
    <w:name w:val="footer"/>
    <w:basedOn w:val="Normln"/>
    <w:link w:val="ZpatChar"/>
    <w:uiPriority w:val="99"/>
    <w:unhideWhenUsed/>
    <w:rsid w:val="00605702"/>
    <w:pPr>
      <w:tabs>
        <w:tab w:val="center" w:pos="4536"/>
        <w:tab w:val="right" w:pos="9072"/>
      </w:tabs>
      <w:spacing w:after="0" w:line="240" w:lineRule="auto"/>
    </w:pPr>
  </w:style>
  <w:style w:type="character" w:customStyle="1" w:styleId="ZpatChar">
    <w:name w:val="Zápatí Char"/>
    <w:basedOn w:val="Standardnpsmoodstavce"/>
    <w:link w:val="Zpat"/>
    <w:uiPriority w:val="99"/>
    <w:rsid w:val="00605702"/>
  </w:style>
  <w:style w:type="character" w:customStyle="1" w:styleId="Nadpis3Char">
    <w:name w:val="Nadpis 3 Char"/>
    <w:basedOn w:val="Standardnpsmoodstavce"/>
    <w:link w:val="Nadpis3"/>
    <w:uiPriority w:val="9"/>
    <w:rsid w:val="00AB1AB4"/>
    <w:rPr>
      <w:rFonts w:asciiTheme="majorHAnsi" w:eastAsiaTheme="majorEastAsia" w:hAnsiTheme="majorHAnsi" w:cstheme="majorBidi"/>
      <w:sz w:val="24"/>
      <w:szCs w:val="24"/>
    </w:rPr>
  </w:style>
  <w:style w:type="paragraph" w:styleId="Bezmezer">
    <w:name w:val="No Spacing"/>
    <w:uiPriority w:val="1"/>
    <w:qFormat/>
    <w:rsid w:val="00DE0EDC"/>
    <w:pPr>
      <w:spacing w:after="0" w:line="240" w:lineRule="auto"/>
    </w:pPr>
    <w:rPr>
      <w:sz w:val="18"/>
    </w:rPr>
  </w:style>
  <w:style w:type="paragraph" w:styleId="Nzev">
    <w:name w:val="Title"/>
    <w:basedOn w:val="Normln"/>
    <w:next w:val="Normln"/>
    <w:link w:val="NzevChar"/>
    <w:uiPriority w:val="10"/>
    <w:qFormat/>
    <w:rsid w:val="00317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17CC4"/>
    <w:rPr>
      <w:rFonts w:asciiTheme="majorHAnsi" w:eastAsiaTheme="majorEastAsia" w:hAnsiTheme="majorHAnsi" w:cstheme="majorBidi"/>
      <w:spacing w:val="-10"/>
      <w:kern w:val="28"/>
      <w:sz w:val="56"/>
      <w:szCs w:val="56"/>
    </w:rPr>
  </w:style>
  <w:style w:type="paragraph" w:styleId="Vrazncitt">
    <w:name w:val="Intense Quote"/>
    <w:basedOn w:val="Normln"/>
    <w:next w:val="Normln"/>
    <w:link w:val="VrazncittChar"/>
    <w:uiPriority w:val="30"/>
    <w:qFormat/>
    <w:rsid w:val="00317CC4"/>
    <w:pPr>
      <w:pBdr>
        <w:top w:val="single" w:sz="18" w:space="10" w:color="FFC832" w:themeColor="background2"/>
        <w:left w:val="single" w:sz="18" w:space="4" w:color="FFC832" w:themeColor="background2"/>
        <w:bottom w:val="single" w:sz="18" w:space="10" w:color="FFC832" w:themeColor="background2"/>
        <w:right w:val="single" w:sz="18" w:space="4" w:color="FFC832" w:themeColor="background2"/>
      </w:pBdr>
      <w:shd w:val="clear" w:color="auto" w:fill="FFC832" w:themeFill="background2"/>
      <w:spacing w:before="360" w:after="360"/>
      <w:ind w:left="864" w:right="864"/>
      <w:jc w:val="center"/>
    </w:pPr>
    <w:rPr>
      <w:i/>
      <w:iCs/>
      <w:color w:val="000000" w:themeColor="text1"/>
    </w:rPr>
  </w:style>
  <w:style w:type="character" w:customStyle="1" w:styleId="VrazncittChar">
    <w:name w:val="Výrazný citát Char"/>
    <w:basedOn w:val="Standardnpsmoodstavce"/>
    <w:link w:val="Vrazncitt"/>
    <w:uiPriority w:val="30"/>
    <w:rsid w:val="00317CC4"/>
    <w:rPr>
      <w:i/>
      <w:iCs/>
      <w:color w:val="000000" w:themeColor="text1"/>
      <w:shd w:val="clear" w:color="auto" w:fill="FFC832" w:themeFill="background2"/>
    </w:rPr>
  </w:style>
  <w:style w:type="character" w:styleId="Odkazintenzivn">
    <w:name w:val="Intense Reference"/>
    <w:basedOn w:val="Standardnpsmoodstavce"/>
    <w:uiPriority w:val="32"/>
    <w:qFormat/>
    <w:rsid w:val="008969A5"/>
    <w:rPr>
      <w:b/>
      <w:bCs/>
      <w:smallCaps/>
      <w:color w:val="F47929" w:themeColor="accent1"/>
      <w:spacing w:val="5"/>
    </w:rPr>
  </w:style>
  <w:style w:type="character" w:styleId="Odkazjemn">
    <w:name w:val="Subtle Reference"/>
    <w:basedOn w:val="Standardnpsmoodstavce"/>
    <w:uiPriority w:val="31"/>
    <w:qFormat/>
    <w:rsid w:val="008969A5"/>
    <w:rPr>
      <w:smallCaps/>
      <w:color w:val="5A5A5A" w:themeColor="text1" w:themeTint="A5"/>
    </w:rPr>
  </w:style>
  <w:style w:type="table" w:styleId="Mkatabulky">
    <w:name w:val="Table Grid"/>
    <w:basedOn w:val="Normlntabulka"/>
    <w:uiPriority w:val="39"/>
    <w:rsid w:val="0089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228AC"/>
    <w:rPr>
      <w:sz w:val="16"/>
      <w:szCs w:val="16"/>
    </w:rPr>
  </w:style>
  <w:style w:type="paragraph" w:styleId="Textkomente">
    <w:name w:val="annotation text"/>
    <w:basedOn w:val="Normln"/>
    <w:link w:val="TextkomenteChar"/>
    <w:uiPriority w:val="99"/>
    <w:semiHidden/>
    <w:unhideWhenUsed/>
    <w:rsid w:val="005228AC"/>
    <w:pPr>
      <w:spacing w:line="240" w:lineRule="auto"/>
    </w:pPr>
    <w:rPr>
      <w:sz w:val="20"/>
      <w:szCs w:val="20"/>
    </w:rPr>
  </w:style>
  <w:style w:type="character" w:customStyle="1" w:styleId="TextkomenteChar">
    <w:name w:val="Text komentáře Char"/>
    <w:basedOn w:val="Standardnpsmoodstavce"/>
    <w:link w:val="Textkomente"/>
    <w:uiPriority w:val="99"/>
    <w:semiHidden/>
    <w:rsid w:val="005228AC"/>
    <w:rPr>
      <w:sz w:val="20"/>
      <w:szCs w:val="20"/>
    </w:rPr>
  </w:style>
  <w:style w:type="paragraph" w:styleId="Pedmtkomente">
    <w:name w:val="annotation subject"/>
    <w:basedOn w:val="Textkomente"/>
    <w:next w:val="Textkomente"/>
    <w:link w:val="PedmtkomenteChar"/>
    <w:uiPriority w:val="99"/>
    <w:semiHidden/>
    <w:unhideWhenUsed/>
    <w:rsid w:val="005228AC"/>
    <w:rPr>
      <w:b/>
      <w:bCs/>
    </w:rPr>
  </w:style>
  <w:style w:type="character" w:customStyle="1" w:styleId="PedmtkomenteChar">
    <w:name w:val="Předmět komentáře Char"/>
    <w:basedOn w:val="TextkomenteChar"/>
    <w:link w:val="Pedmtkomente"/>
    <w:uiPriority w:val="99"/>
    <w:semiHidden/>
    <w:rsid w:val="005228AC"/>
    <w:rPr>
      <w:b/>
      <w:bCs/>
      <w:sz w:val="20"/>
      <w:szCs w:val="20"/>
    </w:rPr>
  </w:style>
  <w:style w:type="character" w:customStyle="1" w:styleId="Nevyeenzmnka1">
    <w:name w:val="Nevyřešená zmínka1"/>
    <w:basedOn w:val="Standardnpsmoodstavce"/>
    <w:uiPriority w:val="99"/>
    <w:semiHidden/>
    <w:unhideWhenUsed/>
    <w:rsid w:val="005228AC"/>
    <w:rPr>
      <w:color w:val="605E5C"/>
      <w:shd w:val="clear" w:color="auto" w:fill="E1DFDD"/>
    </w:rPr>
  </w:style>
  <w:style w:type="paragraph" w:styleId="Textbubliny">
    <w:name w:val="Balloon Text"/>
    <w:basedOn w:val="Normln"/>
    <w:link w:val="TextbublinyChar"/>
    <w:uiPriority w:val="99"/>
    <w:semiHidden/>
    <w:unhideWhenUsed/>
    <w:rsid w:val="000F0A0B"/>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0F0A0B"/>
    <w:rPr>
      <w:rFonts w:ascii="Segoe UI" w:hAnsi="Segoe UI" w:cs="Segoe UI"/>
      <w:sz w:val="18"/>
      <w:szCs w:val="18"/>
    </w:rPr>
  </w:style>
  <w:style w:type="character" w:styleId="Sledovanodkaz">
    <w:name w:val="FollowedHyperlink"/>
    <w:basedOn w:val="Standardnpsmoodstavce"/>
    <w:uiPriority w:val="99"/>
    <w:semiHidden/>
    <w:unhideWhenUsed/>
    <w:rsid w:val="00512185"/>
    <w:rPr>
      <w:color w:val="00284E" w:themeColor="followedHyperlink"/>
      <w:u w:val="single"/>
    </w:rPr>
  </w:style>
  <w:style w:type="paragraph" w:styleId="Revize">
    <w:name w:val="Revision"/>
    <w:hidden/>
    <w:uiPriority w:val="99"/>
    <w:semiHidden/>
    <w:rsid w:val="00842547"/>
    <w:pPr>
      <w:spacing w:after="0" w:line="240" w:lineRule="auto"/>
    </w:pPr>
    <w:rPr>
      <w:sz w:val="18"/>
    </w:rPr>
  </w:style>
  <w:style w:type="paragraph" w:styleId="Textpoznpodarou">
    <w:name w:val="footnote text"/>
    <w:basedOn w:val="Normln"/>
    <w:link w:val="TextpoznpodarouChar"/>
    <w:uiPriority w:val="99"/>
    <w:semiHidden/>
    <w:unhideWhenUsed/>
    <w:rsid w:val="00381E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1E65"/>
    <w:rPr>
      <w:sz w:val="20"/>
      <w:szCs w:val="20"/>
    </w:rPr>
  </w:style>
  <w:style w:type="character" w:styleId="Znakapoznpodarou">
    <w:name w:val="footnote reference"/>
    <w:basedOn w:val="Standardnpsmoodstavce"/>
    <w:uiPriority w:val="99"/>
    <w:semiHidden/>
    <w:unhideWhenUsed/>
    <w:rsid w:val="00381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55">
      <w:bodyDiv w:val="1"/>
      <w:marLeft w:val="0"/>
      <w:marRight w:val="0"/>
      <w:marTop w:val="0"/>
      <w:marBottom w:val="0"/>
      <w:divBdr>
        <w:top w:val="none" w:sz="0" w:space="0" w:color="auto"/>
        <w:left w:val="none" w:sz="0" w:space="0" w:color="auto"/>
        <w:bottom w:val="none" w:sz="0" w:space="0" w:color="auto"/>
        <w:right w:val="none" w:sz="0" w:space="0" w:color="auto"/>
      </w:divBdr>
    </w:div>
    <w:div w:id="26640163">
      <w:bodyDiv w:val="1"/>
      <w:marLeft w:val="0"/>
      <w:marRight w:val="0"/>
      <w:marTop w:val="0"/>
      <w:marBottom w:val="0"/>
      <w:divBdr>
        <w:top w:val="none" w:sz="0" w:space="0" w:color="auto"/>
        <w:left w:val="none" w:sz="0" w:space="0" w:color="auto"/>
        <w:bottom w:val="none" w:sz="0" w:space="0" w:color="auto"/>
        <w:right w:val="none" w:sz="0" w:space="0" w:color="auto"/>
      </w:divBdr>
    </w:div>
    <w:div w:id="82142778">
      <w:bodyDiv w:val="1"/>
      <w:marLeft w:val="0"/>
      <w:marRight w:val="0"/>
      <w:marTop w:val="0"/>
      <w:marBottom w:val="0"/>
      <w:divBdr>
        <w:top w:val="none" w:sz="0" w:space="0" w:color="auto"/>
        <w:left w:val="none" w:sz="0" w:space="0" w:color="auto"/>
        <w:bottom w:val="none" w:sz="0" w:space="0" w:color="auto"/>
        <w:right w:val="none" w:sz="0" w:space="0" w:color="auto"/>
      </w:divBdr>
    </w:div>
    <w:div w:id="368340480">
      <w:bodyDiv w:val="1"/>
      <w:marLeft w:val="0"/>
      <w:marRight w:val="0"/>
      <w:marTop w:val="0"/>
      <w:marBottom w:val="0"/>
      <w:divBdr>
        <w:top w:val="none" w:sz="0" w:space="0" w:color="auto"/>
        <w:left w:val="none" w:sz="0" w:space="0" w:color="auto"/>
        <w:bottom w:val="none" w:sz="0" w:space="0" w:color="auto"/>
        <w:right w:val="none" w:sz="0" w:space="0" w:color="auto"/>
      </w:divBdr>
    </w:div>
    <w:div w:id="399792451">
      <w:bodyDiv w:val="1"/>
      <w:marLeft w:val="0"/>
      <w:marRight w:val="0"/>
      <w:marTop w:val="0"/>
      <w:marBottom w:val="0"/>
      <w:divBdr>
        <w:top w:val="none" w:sz="0" w:space="0" w:color="auto"/>
        <w:left w:val="none" w:sz="0" w:space="0" w:color="auto"/>
        <w:bottom w:val="none" w:sz="0" w:space="0" w:color="auto"/>
        <w:right w:val="none" w:sz="0" w:space="0" w:color="auto"/>
      </w:divBdr>
    </w:div>
    <w:div w:id="402610706">
      <w:bodyDiv w:val="1"/>
      <w:marLeft w:val="0"/>
      <w:marRight w:val="0"/>
      <w:marTop w:val="0"/>
      <w:marBottom w:val="0"/>
      <w:divBdr>
        <w:top w:val="none" w:sz="0" w:space="0" w:color="auto"/>
        <w:left w:val="none" w:sz="0" w:space="0" w:color="auto"/>
        <w:bottom w:val="none" w:sz="0" w:space="0" w:color="auto"/>
        <w:right w:val="none" w:sz="0" w:space="0" w:color="auto"/>
      </w:divBdr>
    </w:div>
    <w:div w:id="549658345">
      <w:bodyDiv w:val="1"/>
      <w:marLeft w:val="0"/>
      <w:marRight w:val="0"/>
      <w:marTop w:val="0"/>
      <w:marBottom w:val="0"/>
      <w:divBdr>
        <w:top w:val="none" w:sz="0" w:space="0" w:color="auto"/>
        <w:left w:val="none" w:sz="0" w:space="0" w:color="auto"/>
        <w:bottom w:val="none" w:sz="0" w:space="0" w:color="auto"/>
        <w:right w:val="none" w:sz="0" w:space="0" w:color="auto"/>
      </w:divBdr>
    </w:div>
    <w:div w:id="692877284">
      <w:bodyDiv w:val="1"/>
      <w:marLeft w:val="0"/>
      <w:marRight w:val="0"/>
      <w:marTop w:val="0"/>
      <w:marBottom w:val="0"/>
      <w:divBdr>
        <w:top w:val="none" w:sz="0" w:space="0" w:color="auto"/>
        <w:left w:val="none" w:sz="0" w:space="0" w:color="auto"/>
        <w:bottom w:val="none" w:sz="0" w:space="0" w:color="auto"/>
        <w:right w:val="none" w:sz="0" w:space="0" w:color="auto"/>
      </w:divBdr>
    </w:div>
    <w:div w:id="984623326">
      <w:bodyDiv w:val="1"/>
      <w:marLeft w:val="0"/>
      <w:marRight w:val="0"/>
      <w:marTop w:val="0"/>
      <w:marBottom w:val="0"/>
      <w:divBdr>
        <w:top w:val="none" w:sz="0" w:space="0" w:color="auto"/>
        <w:left w:val="none" w:sz="0" w:space="0" w:color="auto"/>
        <w:bottom w:val="none" w:sz="0" w:space="0" w:color="auto"/>
        <w:right w:val="none" w:sz="0" w:space="0" w:color="auto"/>
      </w:divBdr>
    </w:div>
    <w:div w:id="1028677548">
      <w:bodyDiv w:val="1"/>
      <w:marLeft w:val="0"/>
      <w:marRight w:val="0"/>
      <w:marTop w:val="0"/>
      <w:marBottom w:val="0"/>
      <w:divBdr>
        <w:top w:val="none" w:sz="0" w:space="0" w:color="auto"/>
        <w:left w:val="none" w:sz="0" w:space="0" w:color="auto"/>
        <w:bottom w:val="none" w:sz="0" w:space="0" w:color="auto"/>
        <w:right w:val="none" w:sz="0" w:space="0" w:color="auto"/>
      </w:divBdr>
    </w:div>
    <w:div w:id="1194997379">
      <w:bodyDiv w:val="1"/>
      <w:marLeft w:val="0"/>
      <w:marRight w:val="0"/>
      <w:marTop w:val="0"/>
      <w:marBottom w:val="0"/>
      <w:divBdr>
        <w:top w:val="none" w:sz="0" w:space="0" w:color="auto"/>
        <w:left w:val="none" w:sz="0" w:space="0" w:color="auto"/>
        <w:bottom w:val="none" w:sz="0" w:space="0" w:color="auto"/>
        <w:right w:val="none" w:sz="0" w:space="0" w:color="auto"/>
      </w:divBdr>
    </w:div>
    <w:div w:id="1296450998">
      <w:bodyDiv w:val="1"/>
      <w:marLeft w:val="0"/>
      <w:marRight w:val="0"/>
      <w:marTop w:val="0"/>
      <w:marBottom w:val="0"/>
      <w:divBdr>
        <w:top w:val="none" w:sz="0" w:space="0" w:color="auto"/>
        <w:left w:val="none" w:sz="0" w:space="0" w:color="auto"/>
        <w:bottom w:val="none" w:sz="0" w:space="0" w:color="auto"/>
        <w:right w:val="none" w:sz="0" w:space="0" w:color="auto"/>
      </w:divBdr>
    </w:div>
    <w:div w:id="1588415125">
      <w:bodyDiv w:val="1"/>
      <w:marLeft w:val="0"/>
      <w:marRight w:val="0"/>
      <w:marTop w:val="0"/>
      <w:marBottom w:val="0"/>
      <w:divBdr>
        <w:top w:val="none" w:sz="0" w:space="0" w:color="auto"/>
        <w:left w:val="none" w:sz="0" w:space="0" w:color="auto"/>
        <w:bottom w:val="none" w:sz="0" w:space="0" w:color="auto"/>
        <w:right w:val="none" w:sz="0" w:space="0" w:color="auto"/>
      </w:divBdr>
    </w:div>
    <w:div w:id="1691561526">
      <w:bodyDiv w:val="1"/>
      <w:marLeft w:val="0"/>
      <w:marRight w:val="0"/>
      <w:marTop w:val="0"/>
      <w:marBottom w:val="0"/>
      <w:divBdr>
        <w:top w:val="none" w:sz="0" w:space="0" w:color="auto"/>
        <w:left w:val="none" w:sz="0" w:space="0" w:color="auto"/>
        <w:bottom w:val="none" w:sz="0" w:space="0" w:color="auto"/>
        <w:right w:val="none" w:sz="0" w:space="0" w:color="auto"/>
      </w:divBdr>
    </w:div>
    <w:div w:id="1727798597">
      <w:bodyDiv w:val="1"/>
      <w:marLeft w:val="0"/>
      <w:marRight w:val="0"/>
      <w:marTop w:val="0"/>
      <w:marBottom w:val="0"/>
      <w:divBdr>
        <w:top w:val="none" w:sz="0" w:space="0" w:color="auto"/>
        <w:left w:val="none" w:sz="0" w:space="0" w:color="auto"/>
        <w:bottom w:val="none" w:sz="0" w:space="0" w:color="auto"/>
        <w:right w:val="none" w:sz="0" w:space="0" w:color="auto"/>
      </w:divBdr>
    </w:div>
    <w:div w:id="1765880640">
      <w:bodyDiv w:val="1"/>
      <w:marLeft w:val="0"/>
      <w:marRight w:val="0"/>
      <w:marTop w:val="0"/>
      <w:marBottom w:val="0"/>
      <w:divBdr>
        <w:top w:val="none" w:sz="0" w:space="0" w:color="auto"/>
        <w:left w:val="none" w:sz="0" w:space="0" w:color="auto"/>
        <w:bottom w:val="none" w:sz="0" w:space="0" w:color="auto"/>
        <w:right w:val="none" w:sz="0" w:space="0" w:color="auto"/>
      </w:divBdr>
    </w:div>
    <w:div w:id="20143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drive.google.com/drive/folders/1Pb9tUOEcdhfonu6zVTjV4m31ie-IyX8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yrrus.cz/" TargetMode="External"/><Relationship Id="rId17" Type="http://schemas.openxmlformats.org/officeDocument/2006/relationships/hyperlink" Target="https://drive.google.com/drive/folders/1MeZo5wihB3CrVaIX8js6pa9IlXG_FjHi?usp=sharing" TargetMode="External"/><Relationship Id="rId2" Type="http://schemas.openxmlformats.org/officeDocument/2006/relationships/numbering" Target="numbering.xml"/><Relationship Id="rId16" Type="http://schemas.openxmlformats.org/officeDocument/2006/relationships/hyperlink" Target="https://drive.google.com/drive/folders/1P3hMpirSa6iyRyoOgXS0_zrCmPe6vQtG?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vJynKESL_uoi_KOQQVqono-903qtLnsU?usp=sharin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drive.google.com/drive/folders/1gDkeWiLU3qJzaTgRJrZ8pGLI6RAL4CKL?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hradil\Downloads\CYRRUS-Hlavickovy_papir_2021%20(2).dotx" TargetMode="External"/></Relationships>
</file>

<file path=word/theme/theme1.xml><?xml version="1.0" encoding="utf-8"?>
<a:theme xmlns:a="http://schemas.openxmlformats.org/drawingml/2006/main" name="Motiv Office">
  <a:themeElements>
    <a:clrScheme name="CYRRUS 2021">
      <a:dk1>
        <a:srgbClr val="000000"/>
      </a:dk1>
      <a:lt1>
        <a:sysClr val="window" lastClr="FFFFFF"/>
      </a:lt1>
      <a:dk2>
        <a:srgbClr val="F47929"/>
      </a:dk2>
      <a:lt2>
        <a:srgbClr val="FFC832"/>
      </a:lt2>
      <a:accent1>
        <a:srgbClr val="F47929"/>
      </a:accent1>
      <a:accent2>
        <a:srgbClr val="FFC832"/>
      </a:accent2>
      <a:accent3>
        <a:srgbClr val="036531"/>
      </a:accent3>
      <a:accent4>
        <a:srgbClr val="AF251A"/>
      </a:accent4>
      <a:accent5>
        <a:srgbClr val="B78A17"/>
      </a:accent5>
      <a:accent6>
        <a:srgbClr val="917F5F"/>
      </a:accent6>
      <a:hlink>
        <a:srgbClr val="003C73"/>
      </a:hlink>
      <a:folHlink>
        <a:srgbClr val="00284E"/>
      </a:folHlink>
    </a:clrScheme>
    <a:fontScheme name="CYRRUS 2021">
      <a:majorFont>
        <a:latin typeface="Nexa Extra Bold"/>
        <a:ea typeface=""/>
        <a:cs typeface=""/>
      </a:majorFont>
      <a:minorFont>
        <a:latin typeface="Nexa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2DD6F-A5A2-468D-AE1F-6D730FEF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CYRRUS-Hlavickovy_papir_2021 (2).dotx</Template>
  <TotalTime>0</TotalTime>
  <Pages>3</Pages>
  <Words>1273</Words>
  <Characters>7512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Hradil Vít</dc:creator>
  <cp:keywords/>
  <dc:description/>
  <cp:lastModifiedBy>Jakub Knapp</cp:lastModifiedBy>
  <cp:revision>3</cp:revision>
  <cp:lastPrinted>2023-05-31T06:55:00Z</cp:lastPrinted>
  <dcterms:created xsi:type="dcterms:W3CDTF">2024-02-12T08:32:00Z</dcterms:created>
  <dcterms:modified xsi:type="dcterms:W3CDTF">2024-02-12T09:12:00Z</dcterms:modified>
</cp:coreProperties>
</file>