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7459" w:rsidR="006400CA" w:rsidP="00133A18" w:rsidRDefault="006400CA" w14:paraId="56706B8E" w14:textId="449DBEBE">
      <w:pPr>
        <w:rPr>
          <w:lang w:val="sk-SK"/>
        </w:rPr>
      </w:pPr>
    </w:p>
    <w:p w:rsidRPr="00C97459" w:rsidR="00BF78E5" w:rsidP="00836178" w:rsidRDefault="0FB51924" w14:paraId="4C2F142B" w14:textId="77777777">
      <w:pPr>
        <w:pStyle w:val="Nzev"/>
        <w:rPr>
          <w:lang w:val="sk-SK"/>
        </w:rPr>
      </w:pPr>
      <w:bookmarkStart w:name="_Hlk140651604" w:id="0"/>
      <w:r w:rsidRPr="00C97459">
        <w:rPr>
          <w:lang w:val="sk-SK"/>
        </w:rPr>
        <w:t>Perspektívy a výzvy digitalizácie v stavebníctve:</w:t>
      </w:r>
    </w:p>
    <w:p w:rsidRPr="00C97459" w:rsidR="007D3B69" w:rsidP="00836178" w:rsidRDefault="0FB51924" w14:paraId="1B1D08D4" w14:textId="2B847D93">
      <w:pPr>
        <w:pStyle w:val="Nzev"/>
        <w:rPr>
          <w:lang w:val="sk-SK"/>
        </w:rPr>
      </w:pPr>
      <w:r w:rsidRPr="00C97459">
        <w:rPr>
          <w:lang w:val="sk-SK"/>
        </w:rPr>
        <w:t xml:space="preserve"> </w:t>
      </w:r>
      <w:proofErr w:type="spellStart"/>
      <w:r w:rsidRPr="00C97459">
        <w:rPr>
          <w:lang w:val="sk-SK"/>
        </w:rPr>
        <w:t>PlanRadar</w:t>
      </w:r>
      <w:proofErr w:type="spellEnd"/>
      <w:r w:rsidRPr="00C97459">
        <w:rPr>
          <w:lang w:val="sk-SK"/>
        </w:rPr>
        <w:t xml:space="preserve"> prináša pohľad viac ako 1 300 odborníkov z</w:t>
      </w:r>
      <w:r w:rsidR="00C97459">
        <w:rPr>
          <w:lang w:val="sk-SK"/>
        </w:rPr>
        <w:t> </w:t>
      </w:r>
      <w:r w:rsidRPr="00C97459">
        <w:rPr>
          <w:lang w:val="sk-SK"/>
        </w:rPr>
        <w:t xml:space="preserve">odvetvia </w:t>
      </w:r>
    </w:p>
    <w:p w:rsidRPr="00C97459" w:rsidR="007D3B69" w:rsidP="007D3B69" w:rsidRDefault="007D3B69" w14:paraId="468A0EC1" w14:textId="77777777">
      <w:pPr>
        <w:rPr>
          <w:lang w:val="sk-SK"/>
        </w:rPr>
      </w:pPr>
    </w:p>
    <w:p w:rsidRPr="00C97459" w:rsidR="35FA9636" w:rsidP="00836178" w:rsidRDefault="35FA9636" w14:paraId="5D732DF7" w14:textId="5E33BE7A">
      <w:pPr>
        <w:pStyle w:val="Odstavecseseznamem"/>
        <w:numPr>
          <w:ilvl w:val="0"/>
          <w:numId w:val="48"/>
        </w:numPr>
        <w:rPr>
          <w:sz w:val="20"/>
          <w:szCs w:val="20"/>
          <w:lang w:val="sk-SK"/>
        </w:rPr>
      </w:pPr>
      <w:r w:rsidRPr="00C97459">
        <w:rPr>
          <w:sz w:val="20"/>
          <w:szCs w:val="20"/>
          <w:lang w:val="sk-SK"/>
        </w:rPr>
        <w:t>97 % účastníkov prieskumu očakáva, že ich spoločnosť v nasledujúcich troch rokoch zvýši investície do digitalizácie.</w:t>
      </w:r>
    </w:p>
    <w:p w:rsidRPr="00C97459" w:rsidR="00052063" w:rsidP="00836178" w:rsidRDefault="176CC985" w14:paraId="7E973E96" w14:textId="0B916FD5">
      <w:pPr>
        <w:pStyle w:val="Odstavecseseznamem"/>
        <w:numPr>
          <w:ilvl w:val="0"/>
          <w:numId w:val="48"/>
        </w:numPr>
        <w:rPr>
          <w:sz w:val="20"/>
          <w:szCs w:val="20"/>
          <w:lang w:val="sk-SK"/>
        </w:rPr>
      </w:pPr>
      <w:r w:rsidRPr="5DC9EA05" w:rsidR="2E75D932">
        <w:rPr>
          <w:sz w:val="20"/>
          <w:szCs w:val="20"/>
          <w:lang w:val="sk-SK"/>
        </w:rPr>
        <w:t xml:space="preserve">Respondenti 8 z </w:t>
      </w:r>
      <w:r w:rsidRPr="5DC9EA05" w:rsidR="7DE740B5">
        <w:rPr>
          <w:sz w:val="20"/>
          <w:szCs w:val="20"/>
          <w:lang w:val="sk-SK"/>
        </w:rPr>
        <w:t xml:space="preserve">celkom </w:t>
      </w:r>
      <w:r w:rsidRPr="5DC9EA05" w:rsidR="2E75D932">
        <w:rPr>
          <w:sz w:val="20"/>
          <w:szCs w:val="20"/>
          <w:lang w:val="sk-SK"/>
        </w:rPr>
        <w:t>15 krajín vrátane Slovenska očakávajú, že ich firmy zvýšia investície do</w:t>
      </w:r>
      <w:r w:rsidRPr="5DC9EA05" w:rsidR="7F1498FF">
        <w:rPr>
          <w:sz w:val="20"/>
          <w:szCs w:val="20"/>
          <w:lang w:val="sk-SK"/>
        </w:rPr>
        <w:t> </w:t>
      </w:r>
      <w:r w:rsidRPr="5DC9EA05" w:rsidR="2E75D932">
        <w:rPr>
          <w:sz w:val="20"/>
          <w:szCs w:val="20"/>
          <w:lang w:val="sk-SK"/>
        </w:rPr>
        <w:t>digitalizácie najmä v rozmedzí 5 až 10 %.</w:t>
      </w:r>
    </w:p>
    <w:p w:rsidRPr="00C97459" w:rsidR="00767AF9" w:rsidP="5DC9EA05" w:rsidRDefault="3D0B8497" w14:paraId="584C86D9" w14:textId="05EF4838">
      <w:pPr>
        <w:pStyle w:val="Odstavecseseznamem"/>
        <w:numPr>
          <w:ilvl w:val="0"/>
          <w:numId w:val="48"/>
        </w:numPr>
        <w:rPr>
          <w:color w:val="000000" w:themeColor="text1" w:themeTint="FF" w:themeShade="FF"/>
          <w:sz w:val="20"/>
          <w:szCs w:val="20"/>
          <w:lang w:val="sk-SK"/>
        </w:rPr>
      </w:pPr>
      <w:r w:rsidRPr="5DC9EA05" w:rsidR="70D3C57E">
        <w:rPr>
          <w:sz w:val="20"/>
          <w:szCs w:val="20"/>
          <w:lang w:val="sk-SK"/>
        </w:rPr>
        <w:t xml:space="preserve">Najväčšie investície sa majú </w:t>
      </w:r>
      <w:r w:rsidRPr="5DC9EA05" w:rsidR="77A939E6">
        <w:rPr>
          <w:sz w:val="20"/>
          <w:szCs w:val="20"/>
          <w:lang w:val="sk-SK"/>
        </w:rPr>
        <w:t xml:space="preserve">týkať softvéru </w:t>
      </w:r>
      <w:r w:rsidRPr="5DC9EA05" w:rsidR="70D3C57E">
        <w:rPr>
          <w:sz w:val="20"/>
          <w:szCs w:val="20"/>
          <w:lang w:val="sk-SK"/>
        </w:rPr>
        <w:t>na riadenie stavebných projektov.</w:t>
      </w:r>
      <w:bookmarkEnd w:id="0"/>
    </w:p>
    <w:p w:rsidR="6F16DBD1" w:rsidP="5DC9EA05" w:rsidRDefault="6F16DBD1" w14:paraId="0242B7A6" w14:textId="0E3BC076">
      <w:pPr>
        <w:pStyle w:val="Odstavecseseznamem"/>
        <w:numPr>
          <w:ilvl w:val="0"/>
          <w:numId w:val="48"/>
        </w:numPr>
        <w:rPr>
          <w:sz w:val="20"/>
          <w:szCs w:val="20"/>
          <w:lang w:val="sk-SK"/>
        </w:rPr>
      </w:pPr>
      <w:r w:rsidRPr="5DC9EA05" w:rsidR="6F16DBD1">
        <w:rPr>
          <w:sz w:val="20"/>
          <w:szCs w:val="20"/>
          <w:lang w:val="sk-SK"/>
        </w:rPr>
        <w:t>Medzi dve hlavné prekážky, ktoré spomaľujú zavádzanie nových technológií, patria podľa odborníkov príliš tradičné názory zúčastnených strán v odvetví a domnelá nízka návratnosť investícií.</w:t>
      </w:r>
    </w:p>
    <w:p w:rsidR="0B76F408" w:rsidP="5DC9EA05" w:rsidRDefault="0B76F408" w14:paraId="27777A7A" w14:textId="58BAAF48">
      <w:pPr>
        <w:rPr>
          <w:lang w:val="sk-SK"/>
        </w:rPr>
      </w:pPr>
      <w:r w:rsidRPr="5DC9EA05" w:rsidR="0B76F408">
        <w:rPr>
          <w:lang w:val="sk-SK"/>
        </w:rPr>
        <w:t>20. nov</w:t>
      </w:r>
      <w:r w:rsidRPr="5DC9EA05" w:rsidR="0B76F408">
        <w:rPr>
          <w:lang w:val="sk-SK"/>
        </w:rPr>
        <w:t>embra</w:t>
      </w:r>
      <w:r w:rsidRPr="5DC9EA05" w:rsidR="0B76F408">
        <w:rPr>
          <w:lang w:val="sk-SK"/>
        </w:rPr>
        <w:t xml:space="preserve"> 2023 – </w:t>
      </w:r>
      <w:r w:rsidRPr="5DC9EA05" w:rsidR="3E8F6696">
        <w:rPr>
          <w:lang w:val="sk-SK"/>
        </w:rPr>
        <w:t xml:space="preserve">Stavebníctvo je jedným z najstarších odborov, ktoré si dlhodobo zachováva svoju tradičnú tvár. Avšak aj toto odvetvie si postupom času prechádza digitálnou transformáciou, čo aktuálne potvrdzujú výsledky najnovšieho prieskumu spoločnosti </w:t>
      </w:r>
      <w:r w:rsidRPr="5DC9EA05" w:rsidR="3E8F6696">
        <w:rPr>
          <w:lang w:val="sk-SK"/>
        </w:rPr>
        <w:t>PlanRadar</w:t>
      </w:r>
      <w:r w:rsidRPr="5DC9EA05" w:rsidR="3E8F6696">
        <w:rPr>
          <w:lang w:val="sk-SK"/>
        </w:rPr>
        <w:t>. Tá zanalyzovala odpovede viac ako 1</w:t>
      </w:r>
      <w:r w:rsidRPr="5DC9EA05" w:rsidR="6A0CFAB2">
        <w:rPr>
          <w:lang w:val="sk-SK"/>
        </w:rPr>
        <w:t xml:space="preserve"> </w:t>
      </w:r>
      <w:r w:rsidRPr="5DC9EA05" w:rsidR="3E8F6696">
        <w:rPr>
          <w:lang w:val="sk-SK"/>
        </w:rPr>
        <w:t>300 odborníkov z 15 krajín sveta vrátane tuzemska, pričom sa zamerala na súčasnú úroveň digitalizácie v stavebnom sektore a perspektívy jej rastu v nasledujúcich troch rokoch. Medzi hlavné zistenia patrí, že 97 % respondentov očakáva v rámci svojej spoločnosti zvýšenie investícií do digitalizácie, aj keď 77 % opýtaných považuje zavádzanie nových technológií v</w:t>
      </w:r>
      <w:r w:rsidRPr="5DC9EA05" w:rsidR="3D91E8B0">
        <w:rPr>
          <w:lang w:val="sk-SK"/>
        </w:rPr>
        <w:t xml:space="preserve">o </w:t>
      </w:r>
      <w:r w:rsidRPr="5DC9EA05" w:rsidR="3E8F6696">
        <w:rPr>
          <w:lang w:val="sk-SK"/>
        </w:rPr>
        <w:t>sv</w:t>
      </w:r>
      <w:r w:rsidRPr="5DC9EA05" w:rsidR="6AE04603">
        <w:rPr>
          <w:lang w:val="sk-SK"/>
        </w:rPr>
        <w:t>ojich</w:t>
      </w:r>
      <w:r w:rsidRPr="5DC9EA05" w:rsidR="3E8F6696">
        <w:rPr>
          <w:lang w:val="sk-SK"/>
        </w:rPr>
        <w:t xml:space="preserve"> tímov za ťažké. Pozitívnou správou je, že domáci profesionáli patria v tomto smere medzi najväčších optimistov.</w:t>
      </w:r>
    </w:p>
    <w:p w:rsidR="5DC9EA05" w:rsidP="5DC9EA05" w:rsidRDefault="5DC9EA05" w14:paraId="042E0020" w14:textId="3E14A1D3">
      <w:pPr>
        <w:rPr>
          <w:lang w:val="sk-SK"/>
        </w:rPr>
      </w:pPr>
    </w:p>
    <w:p w:rsidR="6C51DF0F" w:rsidP="5DC9EA05" w:rsidRDefault="6C51DF0F" w14:paraId="4D7E481C" w14:textId="58F8C2E6">
      <w:pPr>
        <w:pStyle w:val="Normln"/>
        <w:rPr>
          <w:i w:val="1"/>
          <w:iCs w:val="1"/>
          <w:lang w:val="sk-SK"/>
        </w:rPr>
      </w:pPr>
      <w:r w:rsidRPr="5DC9EA05" w:rsidR="6C51DF0F">
        <w:rPr>
          <w:i w:val="1"/>
          <w:iCs w:val="1"/>
          <w:lang w:val="sk-SK"/>
        </w:rPr>
        <w:t>„Hoci sa stretávame s množstvom prekážok, vidíme, že Slováci sú v prístupe k zavádzaniu nových technológií vo firmách oproti ostatným krajinám dobre naladení a štvrtina z nich považuje implementáciu digitálnych nástrojov za jednoduchú,“</w:t>
      </w:r>
      <w:r w:rsidRPr="5DC9EA05" w:rsidR="6C51DF0F">
        <w:rPr>
          <w:lang w:val="sk-SK"/>
        </w:rPr>
        <w:t xml:space="preserve"> komentuje </w:t>
      </w:r>
      <w:r w:rsidRPr="5DC9EA05" w:rsidR="6C51DF0F">
        <w:rPr>
          <w:b w:val="1"/>
          <w:bCs w:val="1"/>
          <w:lang w:val="sk-SK"/>
        </w:rPr>
        <w:t>Ivan Petráš</w:t>
      </w:r>
      <w:r w:rsidRPr="5DC9EA05" w:rsidR="7EBFD917">
        <w:rPr>
          <w:b w:val="1"/>
          <w:bCs w:val="1"/>
          <w:lang w:val="sk-SK"/>
        </w:rPr>
        <w:t>,</w:t>
      </w:r>
      <w:r w:rsidRPr="5DC9EA05" w:rsidR="6C51DF0F">
        <w:rPr>
          <w:b w:val="1"/>
          <w:bCs w:val="1"/>
          <w:lang w:val="sk-SK"/>
        </w:rPr>
        <w:t xml:space="preserve"> expert na digitalizáciu v spoločnosti </w:t>
      </w:r>
      <w:hyperlink r:id="R3bf72d705089488e">
        <w:r w:rsidRPr="5DC9EA05" w:rsidR="6C51DF0F">
          <w:rPr>
            <w:rStyle w:val="Hypertextovodkaz"/>
            <w:b w:val="1"/>
            <w:bCs w:val="1"/>
            <w:lang w:val="sk-SK"/>
          </w:rPr>
          <w:t>PlanRadar</w:t>
        </w:r>
      </w:hyperlink>
      <w:r w:rsidRPr="5DC9EA05" w:rsidR="6C51DF0F">
        <w:rPr>
          <w:lang w:val="sk-SK"/>
        </w:rPr>
        <w:t xml:space="preserve">, a dodáva: </w:t>
      </w:r>
      <w:r w:rsidRPr="5DC9EA05" w:rsidR="6C51DF0F">
        <w:rPr>
          <w:i w:val="1"/>
          <w:iCs w:val="1"/>
          <w:lang w:val="sk-SK"/>
        </w:rPr>
        <w:t>„S tým, že sa budú investície do digitalizácie v nasledujúcich troch rokoch zvyšovať, potom súhlasia takmer všetci opýtaní. Na Slovensku konkrétne 99 %.“</w:t>
      </w:r>
    </w:p>
    <w:p w:rsidR="5DC9EA05" w:rsidP="5DC9EA05" w:rsidRDefault="5DC9EA05" w14:paraId="79997661" w14:textId="682D300D">
      <w:pPr>
        <w:pStyle w:val="Normln"/>
        <w:rPr>
          <w:lang w:val="sk-SK"/>
        </w:rPr>
      </w:pPr>
    </w:p>
    <w:p w:rsidRPr="00C97459" w:rsidR="00A14248" w:rsidP="00D5278C" w:rsidRDefault="00E453E8" w14:paraId="34801E15" w14:textId="393A257A">
      <w:pPr>
        <w:pStyle w:val="Nadpis1"/>
        <w:rPr>
          <w:lang w:val="sk-SK"/>
        </w:rPr>
      </w:pPr>
      <w:r w:rsidRPr="5DC9EA05" w:rsidR="3F52AC96">
        <w:rPr>
          <w:lang w:val="sk-SK"/>
        </w:rPr>
        <w:t>Výzvy pri zavádzaní nových technológií</w:t>
      </w:r>
    </w:p>
    <w:p w:rsidR="068695DD" w:rsidP="5DC9EA05" w:rsidRDefault="068695DD" w14:paraId="5B1A4721" w14:textId="09DE50E3">
      <w:pPr>
        <w:pStyle w:val="Normln"/>
        <w:rPr>
          <w:lang w:val="sk-SK"/>
        </w:rPr>
      </w:pPr>
      <w:r w:rsidRPr="5DC9EA05" w:rsidR="068695DD">
        <w:rPr>
          <w:i w:val="1"/>
          <w:iCs w:val="1"/>
          <w:lang w:val="sk-SK"/>
        </w:rPr>
        <w:t xml:space="preserve">„Zdá sa, že všetci odborníci naprieč segmentmi stavebníctva sa zhodujú v nutnosti digitalizácie odvetvia, ale stále vidíme vysoké percento firiem, ktoré v posledných troch rokoch vôbec neinvestovali do moderných technológií ako robotika (82 %), 3D tlač (80 %), umelá inteligencia (74 %), virtuálna realita (72 %) alebo BIM (41 %). Rovnako sa viac ako </w:t>
      </w:r>
      <w:r w:rsidRPr="5DC9EA05" w:rsidR="3B3ADED6">
        <w:rPr>
          <w:i w:val="1"/>
          <w:iCs w:val="1"/>
          <w:lang w:val="sk-SK"/>
        </w:rPr>
        <w:t>65 % odborníkov</w:t>
      </w:r>
      <w:r w:rsidRPr="5DC9EA05">
        <w:rPr>
          <w:rStyle w:val="Znakapoznpodarou"/>
          <w:i w:val="1"/>
          <w:iCs w:val="1"/>
          <w:lang w:val="sk-SK"/>
        </w:rPr>
        <w:footnoteReference w:id="3190"/>
      </w:r>
      <w:r w:rsidRPr="5DC9EA05" w:rsidR="3B3ADED6">
        <w:rPr>
          <w:i w:val="1"/>
          <w:iCs w:val="1"/>
          <w:lang w:val="sk-SK"/>
        </w:rPr>
        <w:t xml:space="preserve"> </w:t>
      </w:r>
      <w:r w:rsidRPr="5DC9EA05" w:rsidR="068695DD">
        <w:rPr>
          <w:i w:val="1"/>
          <w:iCs w:val="1"/>
          <w:lang w:val="sk-SK"/>
        </w:rPr>
        <w:t xml:space="preserve">domnieva, že v posledných rokoch nedošlo v ich firmách k nárastu počtu pracovníkov pre oblasť digitalizácie – a ak áno, išlo o menej ako 5 %. Preto sme ako prví skúmali prekážky, ktoré firmám v tomto rozvoji bránia, hoci panuje všeobecný konsenzus, že sú </w:t>
      </w:r>
      <w:r w:rsidRPr="5DC9EA05" w:rsidR="14850750">
        <w:rPr>
          <w:i w:val="1"/>
          <w:iCs w:val="1"/>
          <w:lang w:val="sk-SK"/>
        </w:rPr>
        <w:t>absolútne nevyhnutné</w:t>
      </w:r>
      <w:r w:rsidRPr="5DC9EA05" w:rsidR="068695DD">
        <w:rPr>
          <w:i w:val="1"/>
          <w:iCs w:val="1"/>
          <w:lang w:val="sk-SK"/>
        </w:rPr>
        <w:t>,“</w:t>
      </w:r>
      <w:r w:rsidRPr="5DC9EA05" w:rsidR="068695DD">
        <w:rPr>
          <w:lang w:val="sk-SK"/>
        </w:rPr>
        <w:t xml:space="preserve"> popisuje </w:t>
      </w:r>
      <w:r w:rsidRPr="5DC9EA05" w:rsidR="068695DD">
        <w:rPr>
          <w:b w:val="1"/>
          <w:bCs w:val="1"/>
          <w:lang w:val="sk-SK"/>
        </w:rPr>
        <w:t>Ivan Petráš</w:t>
      </w:r>
      <w:r w:rsidRPr="5DC9EA05" w:rsidR="068695DD">
        <w:rPr>
          <w:lang w:val="sk-SK"/>
        </w:rPr>
        <w:t>.</w:t>
      </w:r>
    </w:p>
    <w:p w:rsidR="5DC9EA05" w:rsidP="5DC9EA05" w:rsidRDefault="5DC9EA05" w14:paraId="4F4D698B" w14:textId="4830D893">
      <w:pPr>
        <w:pStyle w:val="Normln"/>
        <w:rPr>
          <w:lang w:val="sk-SK"/>
        </w:rPr>
      </w:pPr>
    </w:p>
    <w:p w:rsidR="7DB08F22" w:rsidP="5DC9EA05" w:rsidRDefault="7DB08F22" w14:paraId="1622B940" w14:textId="5BBCD8C1">
      <w:pPr>
        <w:pStyle w:val="Normln"/>
        <w:rPr>
          <w:lang w:val="sk-SK"/>
        </w:rPr>
      </w:pPr>
      <w:r w:rsidRPr="5DC9EA05" w:rsidR="7DB08F22">
        <w:rPr>
          <w:lang w:val="sk-SK"/>
        </w:rPr>
        <w:t>Celkom 8 z 15 krajín považuje za hlavnú prekážku, ktorá spomaľuje zavádzanie nových technológií a investícií do nich, príliš tradičný pohľad jednotlivých účastníkov stavebného procesu. Na Slovensku ho spomenulo 24 % respondentov. Hneď na druhej priečke sa s 21 % odpovedí zhodne umiestnili dôvody spojené s obávanou nákladnosťou implementácie a domnelou nízkou návratnosťou investície.</w:t>
      </w:r>
    </w:p>
    <w:p w:rsidR="5DC9EA05" w:rsidP="5DC9EA05" w:rsidRDefault="5DC9EA05" w14:paraId="0758F07F" w14:textId="20D066F9">
      <w:pPr>
        <w:pStyle w:val="Normln"/>
        <w:rPr>
          <w:lang w:val="sk-SK"/>
        </w:rPr>
      </w:pPr>
    </w:p>
    <w:tbl>
      <w:tblPr>
        <w:tblW w:w="8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945"/>
        <w:gridCol w:w="975"/>
        <w:gridCol w:w="1110"/>
        <w:gridCol w:w="1155"/>
        <w:gridCol w:w="1320"/>
        <w:gridCol w:w="977"/>
        <w:gridCol w:w="171"/>
        <w:gridCol w:w="28"/>
        <w:gridCol w:w="224"/>
      </w:tblGrid>
      <w:tr w:rsidRPr="00C97459" w:rsidR="00F22A7F" w:rsidTr="5DC9EA05" w14:paraId="570CF85B" w14:textId="77777777">
        <w:trPr>
          <w:gridAfter w:val="3"/>
          <w:wAfter w:w="423" w:type="dxa"/>
          <w:trHeight w:val="158"/>
        </w:trPr>
        <w:tc>
          <w:tcPr>
            <w:tcW w:w="7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75D081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sz w:val="26"/>
                <w:szCs w:val="26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26"/>
                <w:szCs w:val="26"/>
                <w:lang w:val="sk-SK" w:eastAsia="es-ES"/>
              </w:rPr>
              <w:t>Hlavné prekážky, ktoré spomaľujú prijímanie nových technológií</w:t>
            </w:r>
          </w:p>
        </w:tc>
      </w:tr>
      <w:tr w:rsidRPr="00C97459" w:rsidR="00F22A7F" w:rsidTr="5DC9EA05" w14:paraId="29D3836C" w14:textId="77777777">
        <w:trPr>
          <w:trHeight w:val="126"/>
        </w:trPr>
        <w:tc>
          <w:tcPr>
            <w:tcW w:w="8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7A0A143" w14:textId="48AF4FA0">
            <w:pPr>
              <w:rPr>
                <w:rFonts w:ascii="Calibri" w:hAnsi="Calibri" w:eastAsia="Times New Roman" w:cs="Calibri"/>
                <w:b w:val="1"/>
                <w:bCs w:val="1"/>
                <w:color w:val="000000"/>
                <w:sz w:val="22"/>
                <w:szCs w:val="22"/>
                <w:lang w:val="sk-SK" w:eastAsia="es-ES"/>
              </w:rPr>
            </w:pPr>
            <w:r w:rsidRPr="5DC9EA05" w:rsidR="1F358CED">
              <w:rPr>
                <w:rFonts w:ascii="Calibri" w:hAnsi="Calibri" w:eastAsia="Times New Roman" w:cs="Calibri"/>
                <w:b w:val="1"/>
                <w:bCs w:val="1"/>
                <w:sz w:val="22"/>
                <w:szCs w:val="22"/>
                <w:lang w:val="sk-SK" w:eastAsia="es-ES"/>
              </w:rPr>
              <w:t xml:space="preserve">% </w:t>
            </w:r>
            <w:r w:rsidRPr="5DC9EA05" w:rsidR="7D95332E">
              <w:rPr>
                <w:rFonts w:ascii="Calibri" w:hAnsi="Calibri" w:eastAsia="Times New Roman" w:cs="Calibri"/>
                <w:b w:val="1"/>
                <w:bCs w:val="1"/>
                <w:sz w:val="22"/>
                <w:szCs w:val="22"/>
                <w:lang w:val="sk-SK" w:eastAsia="es-ES"/>
              </w:rPr>
              <w:t>odpovedí podľa hlavných prekážok vo firmách v jednotlivých krajinách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D44E32" w:rsidRDefault="00F22A7F" w14:paraId="585757E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sk-SK" w:eastAsia="es-ES"/>
              </w:rPr>
            </w:pPr>
          </w:p>
        </w:tc>
      </w:tr>
      <w:tr w:rsidRPr="00C97459" w:rsidR="00F22A7F" w:rsidTr="5DC9EA05" w14:paraId="04ACB857" w14:textId="77777777">
        <w:trPr>
          <w:gridAfter w:val="2"/>
          <w:wAfter w:w="252" w:type="dxa"/>
          <w:trHeight w:val="612"/>
        </w:trPr>
        <w:tc>
          <w:tcPr>
            <w:tcW w:w="147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3265858D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</w:p>
        </w:tc>
        <w:tc>
          <w:tcPr>
            <w:tcW w:w="945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tcMar/>
            <w:vAlign w:val="center"/>
            <w:hideMark/>
          </w:tcPr>
          <w:p w:rsidRPr="00C97459" w:rsidR="00F22A7F" w:rsidP="5DC9EA05" w:rsidRDefault="00F22A7F" w14:paraId="7BC1385A" w14:textId="2CD002FD">
            <w:pPr>
              <w:pStyle w:val="Normln"/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sz w:val="14"/>
                <w:szCs w:val="14"/>
                <w:lang w:val="sk-SK" w:eastAsia="es-ES"/>
              </w:rPr>
            </w:pPr>
            <w:r w:rsidRPr="5DC9EA05" w:rsidR="0BAE8B80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4"/>
                <w:szCs w:val="14"/>
                <w:lang w:val="sk-SK" w:eastAsia="es-ES"/>
              </w:rPr>
              <w:t xml:space="preserve">Domnienka nízkej </w:t>
            </w:r>
            <w:r w:rsidRPr="5DC9EA05" w:rsidR="0BAE8B80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4"/>
                <w:szCs w:val="14"/>
                <w:lang w:val="sk-SK" w:eastAsia="es-ES"/>
              </w:rPr>
              <w:t>návratnosti</w:t>
            </w:r>
            <w:r w:rsidRPr="5DC9EA05" w:rsidR="0BAE8B80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4"/>
                <w:szCs w:val="14"/>
                <w:lang w:val="sk-SK" w:eastAsia="es-ES"/>
              </w:rPr>
              <w:t xml:space="preserve"> investícií</w:t>
            </w:r>
          </w:p>
        </w:tc>
        <w:tc>
          <w:tcPr>
            <w:tcW w:w="975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tcMar/>
            <w:vAlign w:val="center"/>
            <w:hideMark/>
          </w:tcPr>
          <w:p w:rsidRPr="00C97459" w:rsidR="00F22A7F" w:rsidP="5DC9EA05" w:rsidRDefault="00F22A7F" w14:paraId="3E9BD57F" w14:textId="19778F07">
            <w:pPr>
              <w:pStyle w:val="Normln"/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sz w:val="14"/>
                <w:szCs w:val="14"/>
                <w:lang w:val="sk-SK" w:eastAsia="es-ES"/>
              </w:rPr>
            </w:pPr>
            <w:r w:rsidRPr="5DC9EA05" w:rsidR="0BAE8B80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4"/>
                <w:szCs w:val="14"/>
                <w:lang w:val="sk-SK" w:eastAsia="es-ES"/>
              </w:rPr>
              <w:t>Zavedenie je príliš nákladné</w:t>
            </w:r>
          </w:p>
        </w:tc>
        <w:tc>
          <w:tcPr>
            <w:tcW w:w="1110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tcMar/>
            <w:vAlign w:val="center"/>
            <w:hideMark/>
          </w:tcPr>
          <w:p w:rsidRPr="00C97459" w:rsidR="00F22A7F" w:rsidP="00D44E32" w:rsidRDefault="379A0FBE" w14:paraId="7B5A4C43" w14:textId="72BC783A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sz w:val="14"/>
                <w:szCs w:val="14"/>
                <w:lang w:val="sk-SK" w:eastAsia="es-ES"/>
              </w:rPr>
            </w:pPr>
            <w:r w:rsidRPr="5DC9EA05" w:rsidR="1F358CED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4"/>
                <w:szCs w:val="14"/>
                <w:lang w:val="sk-SK" w:eastAsia="es-ES"/>
              </w:rPr>
              <w:t xml:space="preserve"> </w:t>
            </w:r>
            <w:r w:rsidRPr="5DC9EA05" w:rsidR="511F196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4"/>
                <w:szCs w:val="14"/>
                <w:lang w:val="sk-SK" w:eastAsia="es-ES"/>
              </w:rPr>
              <w:t>Nedostatok školení a pracovníkov v oblasti digitalizácie presadzujúcich nové technológie</w:t>
            </w:r>
          </w:p>
        </w:tc>
        <w:tc>
          <w:tcPr>
            <w:tcW w:w="1155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tcMar/>
            <w:vAlign w:val="center"/>
            <w:hideMark/>
          </w:tcPr>
          <w:p w:rsidRPr="00C97459" w:rsidR="00F22A7F" w:rsidP="00D44E32" w:rsidRDefault="00F22A7F" w14:paraId="522CB27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val="sk-SK" w:eastAsia="es-ES"/>
              </w:rPr>
              <w:t xml:space="preserve"> Príliš tradičné názory zainteresovaných strán z odvetvia</w:t>
            </w:r>
          </w:p>
        </w:tc>
        <w:tc>
          <w:tcPr>
            <w:tcW w:w="1320" w:type="dxa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tcMar/>
            <w:vAlign w:val="center"/>
            <w:hideMark/>
          </w:tcPr>
          <w:p w:rsidRPr="00C97459" w:rsidR="00F22A7F" w:rsidP="5DC9EA05" w:rsidRDefault="00F22A7F" w14:paraId="17C6FFC2" w14:textId="5DDC457C">
            <w:pPr>
              <w:pStyle w:val="Normln"/>
              <w:jc w:val="center"/>
              <w:rPr>
                <w:rFonts w:ascii="Calibri" w:hAnsi="Calibri" w:eastAsia="Times New Roman" w:cs="Calibri"/>
                <w:b w:val="1"/>
                <w:bCs w:val="1"/>
                <w:color w:val="FFFFFF"/>
                <w:sz w:val="14"/>
                <w:szCs w:val="14"/>
                <w:lang w:val="sk-SK" w:eastAsia="es-ES"/>
              </w:rPr>
            </w:pPr>
            <w:r w:rsidRPr="5DC9EA05" w:rsidR="58DCA7EC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4"/>
                <w:szCs w:val="14"/>
                <w:lang w:val="sk-SK" w:eastAsia="es-ES"/>
              </w:rPr>
              <w:t>Chýbajúca regulácia, ktorá by nútila odvetvie k zmenám</w:t>
            </w:r>
          </w:p>
        </w:tc>
        <w:tc>
          <w:tcPr>
            <w:tcW w:w="1148" w:type="dxa"/>
            <w:gridSpan w:val="2"/>
            <w:tcBorders>
              <w:top w:val="single" w:color="9BC2E6" w:sz="4" w:space="0"/>
              <w:left w:val="single" w:color="9BC2E6" w:sz="4" w:space="0"/>
              <w:bottom w:val="nil"/>
              <w:right w:val="nil"/>
            </w:tcBorders>
            <w:shd w:val="clear" w:color="auto" w:fill="00B0F0"/>
            <w:tcMar/>
            <w:vAlign w:val="center"/>
            <w:hideMark/>
          </w:tcPr>
          <w:p w:rsidRPr="00C97459" w:rsidR="00F22A7F" w:rsidP="00D44E32" w:rsidRDefault="00F22A7F" w14:paraId="484E735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4"/>
                <w:szCs w:val="14"/>
                <w:lang w:val="sk-SK" w:eastAsia="es-ES"/>
              </w:rPr>
              <w:t xml:space="preserve"> Nedostatok vládnych stimulov, ako sú dotácie na zavádzanie nových technológií</w:t>
            </w:r>
          </w:p>
        </w:tc>
      </w:tr>
      <w:tr w:rsidRPr="00C97459" w:rsidR="00F22A7F" w:rsidTr="5DC9EA05" w14:paraId="473926B2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71289740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Austrália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D3F748D" w14:textId="31C8991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17 %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46671A44" w14:textId="39562D0F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21 %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C6782C2" w14:textId="7ECB812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17 %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2A104770" w14:textId="01D8942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21 %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D914A03" w14:textId="7077B35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5 %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59D12304" w14:textId="59E4431C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19 %</w:t>
            </w:r>
          </w:p>
        </w:tc>
      </w:tr>
      <w:tr w:rsidRPr="00C97459" w:rsidR="00F22A7F" w:rsidTr="5DC9EA05" w14:paraId="63051BF6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768E571F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Rakúsko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4DB14602" w14:textId="16C527A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24 %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4D79D69" w14:textId="04B942B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15 %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EBE8115" w14:textId="53D0C5E7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15 %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6D6B0ED1" w14:textId="576CB7B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23 %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F24626F" w14:textId="0991BEE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4 %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1E11590" w14:textId="79D6FD2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19 %</w:t>
            </w:r>
          </w:p>
        </w:tc>
      </w:tr>
      <w:tr w:rsidRPr="00C97459" w:rsidR="00F22A7F" w:rsidTr="5DC9EA05" w14:paraId="52BE0D3A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560EA6E0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Brazília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0B24B88B" w14:textId="3168E6C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21 %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1AC865D2" w14:textId="23BF7E1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21 %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14F6DB0B" w14:textId="5E645DA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5D3DFFD9" w14:textId="72BAE2B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24 %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E8D1348" w14:textId="12C696F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6 %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52976C3" w14:textId="0418EE1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</w:tr>
      <w:tr w:rsidRPr="00C97459" w:rsidR="00F22A7F" w:rsidTr="5DC9EA05" w14:paraId="3B57B2A5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600E439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Chorvátsko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1E4493D6" w14:textId="1C4D077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11 %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7E83C41" w14:textId="1666896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17 %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35C5657" w14:textId="36EADB83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8692171" w14:textId="4275B8D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11 %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7434E415" w14:textId="0A7A327B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24 %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2C1EF988" w14:textId="1F65C6EA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22 %</w:t>
            </w:r>
          </w:p>
        </w:tc>
      </w:tr>
      <w:tr w:rsidRPr="00C97459" w:rsidR="00F22A7F" w:rsidTr="5DC9EA05" w14:paraId="2F697D94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2E6D2E6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Česká republika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2D9AADD7" w14:textId="50A8407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20 %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220BEB52" w14:textId="2E92872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20 %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E4F76F1" w14:textId="6D0012D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12 %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0992C057" w14:textId="519BBD9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32 %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5DE97357" w14:textId="6DBDA615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4 %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5FFAB11D" w14:textId="7FCE543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12 %</w:t>
            </w:r>
          </w:p>
        </w:tc>
      </w:tr>
      <w:tr w:rsidRPr="00C97459" w:rsidR="00F22A7F" w:rsidTr="5DC9EA05" w14:paraId="2AED978F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7D035AA6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Francúzsko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04B981E0" w14:textId="466AC7B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28 %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5BB833AF" w14:textId="631A81AA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21 %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4A39B16" w14:textId="290CD2D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18 %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53818504" w14:textId="107EA60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10 %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AD8C51E" w14:textId="2E5B802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8 %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590EE17F" w14:textId="4B2D565C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15 %</w:t>
            </w:r>
          </w:p>
        </w:tc>
      </w:tr>
      <w:tr w:rsidRPr="00C97459" w:rsidR="00F22A7F" w:rsidTr="5DC9EA05" w14:paraId="1B6862FC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77DC1B4B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Nemecko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520FFDFD" w14:textId="04B3BDD1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24 %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A8FA28F" w14:textId="295F64A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18 %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035C2504" w14:textId="7D022F0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18 %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0104AE7F" w14:textId="61FC034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19 %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BA6FFC7" w14:textId="2719D52E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6 %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0AF2D44" w14:textId="1397912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</w:tr>
      <w:tr w:rsidRPr="00C97459" w:rsidR="00F22A7F" w:rsidTr="5DC9EA05" w14:paraId="160D651A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0EAA0E1B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Maďarsko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CEBC9E6" w14:textId="48AA81C3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6CAD36D9" w14:textId="614508D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22 %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C1E08CF" w14:textId="2733364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16 %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3744CF48" w14:textId="3FCBB51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19 %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65D0CE14" w14:textId="1EA2003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11 %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167EB5B4" w14:textId="29E18B00">
            <w:pPr>
              <w:jc w:val="center"/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18 %</w:t>
            </w:r>
          </w:p>
        </w:tc>
      </w:tr>
      <w:tr w:rsidRPr="00C97459" w:rsidR="00F22A7F" w:rsidTr="5DC9EA05" w14:paraId="7616D1D8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1AEC5E74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Taliansko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78F050F8" w14:textId="7BEE3C88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22 %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65F2937" w14:textId="6EC447F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19 %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BBCE4D7" w14:textId="4BB5C15A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13 %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18A3FF59" w14:textId="4768A0D8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20 %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6687BAE4" w14:textId="057D5C1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8 %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0019BA90" w14:textId="6507D3FF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16 %</w:t>
            </w:r>
          </w:p>
        </w:tc>
      </w:tr>
      <w:tr w:rsidRPr="00C97459" w:rsidR="00F22A7F" w:rsidTr="5DC9EA05" w14:paraId="07D92251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647D39C3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Poľsko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31DE3DA" w14:textId="229EA633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1CBAFF42" w14:textId="3E1751C6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16 %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4CDF5161" w14:textId="7995712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18 %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2E41DE3D" w14:textId="3177E8D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23 %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FF7A87F" w14:textId="58A7D428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B07DDE9" w14:textId="2B7336D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</w:tr>
      <w:tr w:rsidRPr="00C97459" w:rsidR="00F22A7F" w:rsidTr="5DC9EA05" w14:paraId="372C19F2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30063BC4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Rumunsko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A2FACD6" w14:textId="6B2DCDD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13 %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12067765" w14:textId="386A84A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19 %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1D1F15AA" w14:textId="0DF76F02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4C8EE888" w14:textId="74452F8C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22 %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17B9814" w14:textId="3A6C8BA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13 %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1D85F59C" w14:textId="33D72DB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21 %</w:t>
            </w:r>
          </w:p>
        </w:tc>
      </w:tr>
      <w:tr w:rsidRPr="00C97459" w:rsidR="00F22A7F" w:rsidTr="5DC9EA05" w14:paraId="5E0E7441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31EC1C33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Srbsko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A02AEB6" w14:textId="0619DD3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63F56251" w14:textId="012D3FD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57C9B456" w14:textId="1FEABE4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17 %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70182B32" w14:textId="46FD828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20 %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6A3E02D7" w14:textId="7481AE9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15 %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67FFDEAD" w14:textId="063BCD8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20 %</w:t>
            </w:r>
          </w:p>
        </w:tc>
      </w:tr>
      <w:tr w:rsidRPr="00C97459" w:rsidR="00F22A7F" w:rsidTr="5DC9EA05" w14:paraId="0774CE82" w14:textId="77777777">
        <w:trPr>
          <w:gridAfter w:val="2"/>
          <w:wAfter w:w="252" w:type="dxa"/>
          <w:trHeight w:val="133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6B8EC08C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Slovensko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5E7D9A04" w14:textId="127C24C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21 %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138A7FAC" w14:textId="16A1AE7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21 %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3509265" w14:textId="4E85DA17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11 %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050D0D47" w14:textId="7B3C7472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24 %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60C31570" w14:textId="2D587C4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7 %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71A4FD1" w14:textId="2EC9E7DD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18 %</w:t>
            </w:r>
          </w:p>
        </w:tc>
      </w:tr>
      <w:tr w:rsidRPr="00C97459" w:rsidR="00F22A7F" w:rsidTr="5DC9EA05" w14:paraId="41E573A3" w14:textId="77777777">
        <w:trPr>
          <w:gridAfter w:val="2"/>
          <w:wAfter w:w="252" w:type="dxa"/>
          <w:trHeight w:val="133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00F22A7F" w14:paraId="272312F1" w14:textId="77777777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  <w:t>Španielsko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079A667F" w14:textId="6F419AF9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20 %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95AB96D" w14:textId="5FF6D88C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16 %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388879A4" w14:textId="245F7BD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19 %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66AF69C2" w14:textId="7F8FABBE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20 %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727927DE" w14:textId="598D5523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5 %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2CFB5B2C" w14:textId="741832A4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20 %</w:t>
            </w:r>
          </w:p>
        </w:tc>
      </w:tr>
      <w:tr w:rsidRPr="00C97459" w:rsidR="00F22A7F" w:rsidTr="5DC9EA05" w14:paraId="1C47A0EC" w14:textId="77777777">
        <w:trPr>
          <w:gridAfter w:val="2"/>
          <w:wAfter w:w="252" w:type="dxa"/>
          <w:trHeight w:val="126"/>
        </w:trPr>
        <w:tc>
          <w:tcPr>
            <w:tcW w:w="1470" w:type="dxa"/>
            <w:tcBorders>
              <w:top w:val="nil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noWrap/>
            <w:tcMar/>
            <w:vAlign w:val="bottom"/>
            <w:hideMark/>
          </w:tcPr>
          <w:p w:rsidRPr="00C97459" w:rsidR="00F22A7F" w:rsidP="00D44E32" w:rsidRDefault="4EE20419" w14:paraId="1A920717" w14:textId="54C767D3">
            <w:pPr>
              <w:rPr>
                <w:rFonts w:ascii="Calibri" w:hAnsi="Calibri" w:eastAsia="Times New Roman" w:cs="Calibri"/>
                <w:b/>
                <w:bCs/>
                <w:color w:val="FFFFFF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18"/>
                <w:szCs w:val="18"/>
                <w:lang w:val="sk-SK" w:eastAsia="es-ES"/>
              </w:rPr>
              <w:t>Veľká Británia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noWrap/>
            <w:tcMar/>
            <w:vAlign w:val="bottom"/>
            <w:hideMark/>
          </w:tcPr>
          <w:p w:rsidRPr="00C97459" w:rsidR="00F22A7F" w:rsidP="00836178" w:rsidRDefault="379A0FBE" w14:paraId="6F26ACC8" w14:textId="2AF69A1B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22 %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9D08E"/>
            <w:noWrap/>
            <w:tcMar/>
            <w:vAlign w:val="bottom"/>
            <w:hideMark/>
          </w:tcPr>
          <w:p w:rsidRPr="00C97459" w:rsidR="00F22A7F" w:rsidP="00836178" w:rsidRDefault="379A0FBE" w14:paraId="39BF7409" w14:textId="551C2315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18"/>
                <w:szCs w:val="18"/>
                <w:lang w:val="sk-SK" w:eastAsia="es-ES"/>
              </w:rPr>
              <w:t>26 %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00D34F05" w14:textId="57A8AFD1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18 %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458B2CD0" w14:textId="2B8245E4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15 %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0742F1AC" w14:textId="0FC5F980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5 %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7459" w:rsidR="00F22A7F" w:rsidP="00836178" w:rsidRDefault="379A0FBE" w14:paraId="2E3E04B7" w14:textId="2D9E8F59">
            <w:pPr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18"/>
                <w:szCs w:val="18"/>
                <w:lang w:val="sk-SK" w:eastAsia="es-ES"/>
              </w:rPr>
              <w:t>14 %</w:t>
            </w:r>
          </w:p>
        </w:tc>
      </w:tr>
    </w:tbl>
    <w:p w:rsidRPr="00C97459" w:rsidR="005F6490" w:rsidP="00F2636B" w:rsidRDefault="5E538164" w14:paraId="07861F4A" w14:textId="77777777">
      <w:pPr>
        <w:pStyle w:val="Nadpis1"/>
        <w:rPr>
          <w:rFonts w:ascii="Calibri" w:hAnsi="Calibri" w:eastAsia="Times New Roman" w:cs="Calibri"/>
          <w:b/>
          <w:bCs/>
          <w:color w:val="auto"/>
          <w:sz w:val="22"/>
          <w:szCs w:val="22"/>
          <w:lang w:val="sk-SK" w:eastAsia="es-ES"/>
        </w:rPr>
      </w:pPr>
      <w:r w:rsidRPr="00C97459">
        <w:rPr>
          <w:rFonts w:ascii="Calibri" w:hAnsi="Calibri" w:eastAsia="Times New Roman" w:cs="Calibri"/>
          <w:b/>
          <w:bCs/>
          <w:color w:val="auto"/>
          <w:sz w:val="22"/>
          <w:szCs w:val="22"/>
          <w:lang w:val="sk-SK" w:eastAsia="es-ES"/>
        </w:rPr>
        <w:t xml:space="preserve">Zdroj: Prieskum </w:t>
      </w:r>
      <w:proofErr w:type="spellStart"/>
      <w:r w:rsidRPr="00C97459">
        <w:rPr>
          <w:rFonts w:ascii="Calibri" w:hAnsi="Calibri" w:eastAsia="Times New Roman" w:cs="Calibri"/>
          <w:b/>
          <w:bCs/>
          <w:color w:val="auto"/>
          <w:sz w:val="22"/>
          <w:szCs w:val="22"/>
          <w:lang w:val="sk-SK" w:eastAsia="es-ES"/>
        </w:rPr>
        <w:t>PlanRadar</w:t>
      </w:r>
      <w:proofErr w:type="spellEnd"/>
      <w:r w:rsidRPr="00C97459">
        <w:rPr>
          <w:rFonts w:ascii="Calibri" w:hAnsi="Calibri" w:eastAsia="Times New Roman" w:cs="Calibri"/>
          <w:b/>
          <w:bCs/>
          <w:color w:val="auto"/>
          <w:sz w:val="22"/>
          <w:szCs w:val="22"/>
          <w:lang w:val="sk-SK" w:eastAsia="es-ES"/>
        </w:rPr>
        <w:t xml:space="preserve"> 2023</w:t>
      </w:r>
    </w:p>
    <w:p w:rsidRPr="00C97459" w:rsidR="00CD34A1" w:rsidP="00F2636B" w:rsidRDefault="00F2636B" w14:paraId="14D7CB77" w14:textId="3DB1AB66">
      <w:pPr>
        <w:pStyle w:val="Nadpis1"/>
        <w:rPr>
          <w:noProof w:val="0"/>
          <w:lang w:val="sk-SK"/>
        </w:rPr>
      </w:pPr>
      <w:r>
        <w:br/>
      </w:r>
      <w:r w:rsidRPr="5DC9EA05" w:rsidR="3502EBE0">
        <w:rPr>
          <w:noProof w:val="0"/>
          <w:lang w:val="sk-SK"/>
        </w:rPr>
        <w:t xml:space="preserve">Ktoré </w:t>
      </w:r>
      <w:r w:rsidRPr="5DC9EA05" w:rsidR="3502EBE0">
        <w:rPr>
          <w:noProof w:val="0"/>
          <w:lang w:val="sk-SK"/>
        </w:rPr>
        <w:t>technológie</w:t>
      </w:r>
      <w:r w:rsidRPr="5DC9EA05" w:rsidR="3502EBE0">
        <w:rPr>
          <w:noProof w:val="0"/>
          <w:lang w:val="sk-SK"/>
        </w:rPr>
        <w:t xml:space="preserve"> </w:t>
      </w:r>
      <w:r w:rsidRPr="5DC9EA05" w:rsidR="3502EBE0">
        <w:rPr>
          <w:noProof w:val="0"/>
          <w:lang w:val="sk-SK"/>
        </w:rPr>
        <w:t>čaká</w:t>
      </w:r>
      <w:r w:rsidRPr="5DC9EA05" w:rsidR="3502EBE0">
        <w:rPr>
          <w:noProof w:val="0"/>
          <w:lang w:val="sk-SK"/>
        </w:rPr>
        <w:t xml:space="preserve"> rozvoj?</w:t>
      </w:r>
    </w:p>
    <w:p w:rsidRPr="00C97459" w:rsidR="00836178" w:rsidP="00836178" w:rsidRDefault="00836178" w14:paraId="5CCF762C" w14:textId="13361505">
      <w:pPr>
        <w:rPr>
          <w:noProof w:val="0"/>
          <w:lang w:val="sk-SK"/>
        </w:rPr>
      </w:pPr>
      <w:r w:rsidRPr="5DC9EA05" w:rsidR="3502EBE0">
        <w:rPr>
          <w:noProof w:val="0"/>
          <w:lang w:val="sk-SK"/>
        </w:rPr>
        <w:t>Miera očakávaného rastu sa medzi analyzovanými krajinami líši. Najväčší podiel respondentov (29 %) odhaduje zvýšenie investícií medzi 5 až 10 %. Avšak nezanedbateľné množstvo odborníkov predpokladá ešte výraznejší pokrok: 19 % opýtaných na Slovensku predikuje vzostup investícií o 11 až 30 %, zatiaľ čo viac ako štvrtina (27 %) dokonca cez 31 %.</w:t>
      </w:r>
    </w:p>
    <w:p w:rsidR="5DC9EA05" w:rsidP="5DC9EA05" w:rsidRDefault="5DC9EA05" w14:paraId="7897A824" w14:textId="172339E0">
      <w:pPr>
        <w:pStyle w:val="Normln"/>
        <w:rPr>
          <w:lang w:val="sk-SK"/>
        </w:rPr>
      </w:pPr>
    </w:p>
    <w:tbl>
      <w:tblPr>
        <w:tblW w:w="8925" w:type="dxa"/>
        <w:tblLook w:val="04A0" w:firstRow="1" w:lastRow="0" w:firstColumn="1" w:lastColumn="0" w:noHBand="0" w:noVBand="1"/>
      </w:tblPr>
      <w:tblGrid>
        <w:gridCol w:w="2540"/>
        <w:gridCol w:w="1509"/>
        <w:gridCol w:w="1000"/>
        <w:gridCol w:w="1410"/>
        <w:gridCol w:w="1200"/>
        <w:gridCol w:w="1266"/>
      </w:tblGrid>
      <w:tr w:rsidRPr="00C97459" w:rsidR="00836178" w:rsidTr="5DC9EA05" w14:paraId="20F42074" w14:textId="77777777">
        <w:trPr>
          <w:trHeight w:val="363"/>
        </w:trPr>
        <w:tc>
          <w:tcPr>
            <w:tcW w:w="8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DEE5255" w14:textId="39FD4659">
            <w:pPr>
              <w:rPr>
                <w:rFonts w:ascii="Calibri" w:hAnsi="Calibri" w:eastAsia="Times New Roman" w:cs="Calibri"/>
                <w:b/>
                <w:bCs/>
                <w:sz w:val="26"/>
                <w:szCs w:val="26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26"/>
                <w:szCs w:val="26"/>
                <w:lang w:val="sk-SK" w:eastAsia="es-ES"/>
              </w:rPr>
              <w:t>Rast investícií do digitalizácie v nasledujúcich 3 rokoch podľa krajín</w:t>
            </w:r>
          </w:p>
        </w:tc>
      </w:tr>
      <w:tr w:rsidRPr="00C97459" w:rsidR="00836178" w:rsidTr="5DC9EA05" w14:paraId="03CF5F74" w14:textId="77777777">
        <w:trPr>
          <w:trHeight w:val="291"/>
        </w:trPr>
        <w:tc>
          <w:tcPr>
            <w:tcW w:w="6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5022DC8A" w14:textId="538DF585">
            <w:pPr>
              <w:rPr>
                <w:rFonts w:ascii="Calibri" w:hAnsi="Calibri" w:eastAsia="Times New Roman" w:cs="Calibri"/>
                <w:b w:val="1"/>
                <w:bCs w:val="1"/>
                <w:sz w:val="22"/>
                <w:szCs w:val="22"/>
                <w:lang w:val="sk-SK" w:eastAsia="es-ES"/>
              </w:rPr>
            </w:pPr>
            <w:r w:rsidRPr="5DC9EA05" w:rsidR="6FF7704A">
              <w:rPr>
                <w:rFonts w:ascii="Calibri" w:hAnsi="Calibri" w:eastAsia="Times New Roman" w:cs="Calibri"/>
                <w:b w:val="1"/>
                <w:bCs w:val="1"/>
                <w:sz w:val="22"/>
                <w:szCs w:val="22"/>
                <w:lang w:val="sk-SK" w:eastAsia="es-ES"/>
              </w:rPr>
              <w:t xml:space="preserve">% </w:t>
            </w:r>
            <w:r w:rsidRPr="5DC9EA05" w:rsidR="2B0FED5E">
              <w:rPr>
                <w:rFonts w:ascii="Calibri" w:hAnsi="Calibri" w:eastAsia="Times New Roman" w:cs="Calibri"/>
                <w:b w:val="1"/>
                <w:bCs w:val="1"/>
                <w:sz w:val="22"/>
                <w:szCs w:val="22"/>
                <w:lang w:val="sk-SK" w:eastAsia="es-ES"/>
              </w:rPr>
              <w:t>odpovedí podľa očakávaného rastu investícií v ich firme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1C3F1532" w14:textId="77777777">
            <w:pPr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001678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val="sk-SK" w:eastAsia="es-ES"/>
              </w:rPr>
            </w:pPr>
          </w:p>
        </w:tc>
      </w:tr>
      <w:tr w:rsidRPr="00C97459" w:rsidR="00836178" w:rsidTr="5DC9EA05" w14:paraId="08BD80C8" w14:textId="77777777">
        <w:trPr>
          <w:trHeight w:val="582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349161E3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6E7CD2B4" w14:textId="7549CC78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16"/>
                <w:szCs w:val="16"/>
                <w:lang w:val="sk-SK" w:eastAsia="es-ES"/>
              </w:rPr>
              <w:t>Neplánujú sa žiadne investície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1FB64F97" w14:textId="2C7C62F3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/>
                <w:sz w:val="16"/>
                <w:szCs w:val="16"/>
                <w:lang w:val="sk-SK" w:eastAsia="es-ES"/>
              </w:rPr>
            </w:pPr>
            <w:r w:rsidRPr="5DC9EA05" w:rsidR="6FF7704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>Menej ako 5</w:t>
            </w:r>
            <w:r w:rsidRPr="5DC9EA05" w:rsidR="4628055E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 xml:space="preserve"> </w:t>
            </w:r>
            <w:r w:rsidRPr="5DC9EA05" w:rsidR="6FF7704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 xml:space="preserve">% 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62C70FCA" w14:textId="6437FAD5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/>
                <w:sz w:val="16"/>
                <w:szCs w:val="16"/>
                <w:lang w:val="sk-SK" w:eastAsia="es-ES"/>
              </w:rPr>
            </w:pPr>
            <w:r w:rsidRPr="5DC9EA05" w:rsidR="6FF7704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>5 až 10 %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3320C0B2" w14:textId="161BEB00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/>
                <w:sz w:val="16"/>
                <w:szCs w:val="16"/>
                <w:lang w:val="sk-SK" w:eastAsia="es-ES"/>
              </w:rPr>
            </w:pPr>
            <w:r w:rsidRPr="5DC9EA05" w:rsidR="6FF7704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>11 až 30 %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7B1D2B8E" w14:textId="23198C50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FFFFFF" w:themeColor="background1"/>
                <w:sz w:val="16"/>
                <w:szCs w:val="16"/>
                <w:lang w:val="sk-SK" w:eastAsia="es-ES"/>
              </w:rPr>
            </w:pPr>
            <w:r w:rsidRPr="5DC9EA05" w:rsidR="6FF7704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>Viac ako 31</w:t>
            </w:r>
            <w:r w:rsidRPr="5DC9EA05" w:rsidR="720877C2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 xml:space="preserve"> </w:t>
            </w:r>
            <w:r w:rsidRPr="5DC9EA05" w:rsidR="6FF7704A">
              <w:rPr>
                <w:rFonts w:ascii="Calibri" w:hAnsi="Calibri" w:eastAsia="Times New Roman" w:cs="Calibri"/>
                <w:b w:val="1"/>
                <w:bCs w:val="1"/>
                <w:color w:val="FFFFFF" w:themeColor="background1" w:themeTint="FF" w:themeShade="FF"/>
                <w:sz w:val="16"/>
                <w:szCs w:val="16"/>
                <w:lang w:val="sk-SK" w:eastAsia="es-ES"/>
              </w:rPr>
              <w:t>%</w:t>
            </w:r>
          </w:p>
        </w:tc>
      </w:tr>
      <w:tr w:rsidRPr="00C97459" w:rsidR="00836178" w:rsidTr="5DC9EA05" w14:paraId="15A13568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7F195050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Austrália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D95F213" w14:textId="56A5094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0 %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1C3453CB" w14:textId="7EEB5D7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8 %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700A45B" w14:textId="4DC00E0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27 %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316D91AC" w14:textId="76944B6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27 %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08FEF42F" w14:textId="0254512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38 %</w:t>
            </w:r>
          </w:p>
        </w:tc>
      </w:tr>
      <w:tr w:rsidRPr="00C97459" w:rsidR="00836178" w:rsidTr="5DC9EA05" w14:paraId="69FDA3F2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1407296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Rakúsko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DED0BA4" w14:textId="6C3C3CE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0 %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22BC1868" w14:textId="4F24ECA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6 %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4C626D2D" w14:textId="392D054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39 %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3D5A917" w14:textId="40E65C3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35 %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07B4B618" w14:textId="7ACF79F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20 %</w:t>
            </w:r>
          </w:p>
        </w:tc>
      </w:tr>
      <w:tr w:rsidRPr="00C97459" w:rsidR="00836178" w:rsidTr="5DC9EA05" w14:paraId="3020B1B1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24B90D4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Brazília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43F99916" w14:textId="1F06037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0 %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61C9E31" w14:textId="33029D7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8 %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4CF2310A" w14:textId="066512C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13 %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32A7A287" w14:textId="0D20751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50 %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28B310E" w14:textId="4D0003B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29 %</w:t>
            </w:r>
          </w:p>
        </w:tc>
      </w:tr>
      <w:tr w:rsidRPr="00C97459" w:rsidR="00836178" w:rsidTr="5DC9EA05" w14:paraId="40AE8112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358856E8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Chorvátsko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4EC0C15B" w14:textId="0BCAC07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0 %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1A8C4137" w14:textId="2480A5F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19 %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7535355E" w14:textId="2460913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39 %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0434DAA" w14:textId="0E5ACB1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23 %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2449FAA9" w14:textId="70E4029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19 %</w:t>
            </w:r>
          </w:p>
        </w:tc>
      </w:tr>
      <w:tr w:rsidRPr="00C97459" w:rsidR="00836178" w:rsidTr="5DC9EA05" w14:paraId="5AD6C857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7E66A432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Česká republika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0F167890" w14:textId="3A1090C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6 %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0A6BB98E" w14:textId="6950DC3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16 %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0766AE63" w14:textId="7E59402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32 %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12955CAB" w14:textId="1786472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22 %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0F0E0808" w14:textId="45CEA98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24 %</w:t>
            </w:r>
          </w:p>
        </w:tc>
      </w:tr>
      <w:tr w:rsidRPr="00C97459" w:rsidR="00836178" w:rsidTr="5DC9EA05" w14:paraId="142A7A9D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415EAAA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Francúzsko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9D998F4" w14:textId="3515AB9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5DC45566" w14:textId="122DD0C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18 %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2608F451" w14:textId="51B3091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29 %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1525E7D7" w14:textId="4A0ACF3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26 %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0DC0BBD7" w14:textId="651257B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24 %</w:t>
            </w:r>
          </w:p>
        </w:tc>
      </w:tr>
      <w:tr w:rsidRPr="00C97459" w:rsidR="00836178" w:rsidTr="5DC9EA05" w14:paraId="43CFAB5C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2377FAC3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lastRenderedPageBreak/>
              <w:t>Nemecko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B9A5FB0" w14:textId="5797D71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4 %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C72172E" w14:textId="5696570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11 %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0B54191" w14:textId="1C0DE59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26 %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4C933EE3" w14:textId="1E00213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34 %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DDAC1BF" w14:textId="68C608E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26 %</w:t>
            </w:r>
          </w:p>
        </w:tc>
      </w:tr>
      <w:tr w:rsidRPr="00C97459" w:rsidR="00836178" w:rsidTr="5DC9EA05" w14:paraId="0DBA4260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3080A0F5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Maďarsko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45089114" w14:textId="5ADCAF5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6 %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4E9A1954" w14:textId="0D9207F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21 %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544B6ABB" w14:textId="3B6D253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25 %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5BEA7FC7" w14:textId="035FB79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23 %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42F1722A" w14:textId="764BCDE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26 %</w:t>
            </w:r>
          </w:p>
        </w:tc>
      </w:tr>
      <w:tr w:rsidRPr="00C97459" w:rsidR="00836178" w:rsidTr="5DC9EA05" w14:paraId="6F91F020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32BE2BE6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Taliansko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067BAAA2" w14:textId="1001A5DB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0 %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42209B6D" w14:textId="7B1703E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23 %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EA3F61B" w14:textId="195AFB9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30 %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4D2AA150" w14:textId="0779A94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39 %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77BD85CC" w14:textId="3730EE6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9 %</w:t>
            </w:r>
          </w:p>
        </w:tc>
      </w:tr>
      <w:tr w:rsidRPr="00C97459" w:rsidR="00836178" w:rsidTr="5DC9EA05" w14:paraId="381BD55C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2370AB09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Poľsko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72E1991" w14:textId="60F073C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0 %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679A254B" w14:textId="3000D7F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19 %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18158B1" w14:textId="499AB20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19 %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97D15BD" w14:textId="3ABFFC8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28 %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5FED95E6" w14:textId="663251A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34 %</w:t>
            </w:r>
          </w:p>
        </w:tc>
      </w:tr>
      <w:tr w:rsidRPr="00C97459" w:rsidR="00836178" w:rsidTr="5DC9EA05" w14:paraId="20602C62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304F6AAE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Rumunsko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5D26FC3" w14:textId="41DC000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7 %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7374879B" w14:textId="10C94F1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12 %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1533724" w14:textId="647BE071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24 %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20155F7" w14:textId="6AB3B58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27 %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7985F842" w14:textId="702D631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30 %</w:t>
            </w:r>
          </w:p>
        </w:tc>
      </w:tr>
      <w:tr w:rsidRPr="00C97459" w:rsidR="00836178" w:rsidTr="5DC9EA05" w14:paraId="3EBD2216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4C0B56CB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Srbsko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40273801" w14:textId="76C57AD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4 %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9350BD3" w14:textId="36FA24A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21 %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4E0D6311" w14:textId="130AFC7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31 %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1824AC3C" w14:textId="56D3392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26 %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214FA1D" w14:textId="3E24C54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19 %</w:t>
            </w:r>
          </w:p>
        </w:tc>
      </w:tr>
      <w:tr w:rsidRPr="00C97459" w:rsidR="00836178" w:rsidTr="5DC9EA05" w14:paraId="6F835B15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337FCD9A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Slovensko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189A35ED" w14:textId="6CE1075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4959712" w14:textId="42C1AF0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22 %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57FEE334" w14:textId="58F871E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30 %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3AE527D9" w14:textId="52DD0A1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19 %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40E69A73" w14:textId="591113F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27 %</w:t>
            </w:r>
          </w:p>
        </w:tc>
      </w:tr>
      <w:tr w:rsidRPr="00C97459" w:rsidR="00836178" w:rsidTr="5DC9EA05" w14:paraId="3D9CB39D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75F98E80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Španielsko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5AABE3AB" w14:textId="336AC83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D36D301" w14:textId="46BC1BA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18 %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7E875B45" w14:textId="5C20901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41 %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64CD7822" w14:textId="58F0F02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23 %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F5FC585" w14:textId="559F81C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17 %</w:t>
            </w:r>
          </w:p>
        </w:tc>
      </w:tr>
      <w:tr w:rsidRPr="00C97459" w:rsidR="00836178" w:rsidTr="5DC9EA05" w14:paraId="0F3A982F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555987A2" w:rsidP="00836178" w:rsidRDefault="555987A2" w14:paraId="7E54AFD1" w14:textId="213259BB">
            <w:pPr>
              <w:spacing w:line="259" w:lineRule="auto"/>
              <w:rPr>
                <w:lang w:val="sk-SK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Veľká Británia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46522250" w14:textId="5DD6F5A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0 %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2D0794F" w14:textId="62A1E01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24 %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FFF2CC" w:themeFill="accent4" w:themeFillTint="33"/>
            <w:tcMar/>
            <w:vAlign w:val="bottom"/>
          </w:tcPr>
          <w:p w:rsidRPr="00C97459" w:rsidR="00836178" w:rsidP="00836178" w:rsidRDefault="00836178" w14:paraId="7A581949" w14:textId="0DBB43A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30 %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46373EE4" w14:textId="7036CF26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24 %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0252E2C" w14:textId="4E8087C5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22 %</w:t>
            </w:r>
          </w:p>
        </w:tc>
      </w:tr>
      <w:tr w:rsidRPr="00C97459" w:rsidR="00836178" w:rsidTr="5DC9EA05" w14:paraId="4F91E14A" w14:textId="77777777">
        <w:trPr>
          <w:trHeight w:val="291"/>
        </w:trPr>
        <w:tc>
          <w:tcPr>
            <w:tcW w:w="254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tcMar/>
            <w:vAlign w:val="bottom"/>
          </w:tcPr>
          <w:p w:rsidRPr="00C97459" w:rsidR="5637E949" w:rsidP="00836178" w:rsidRDefault="5637E949" w14:paraId="2F228188" w14:textId="15DEDDD2">
            <w:pPr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  <w:t>Celkový priemer</w:t>
            </w:r>
          </w:p>
        </w:tc>
        <w:tc>
          <w:tcPr>
            <w:tcW w:w="1509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Pr="00C97459" w:rsidR="5637E949" w:rsidP="00836178" w:rsidRDefault="5637E949" w14:paraId="07BED31A" w14:textId="0F34D622">
            <w:pPr>
              <w:jc w:val="center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  <w:t>2 %</w:t>
            </w:r>
          </w:p>
        </w:tc>
        <w:tc>
          <w:tcPr>
            <w:tcW w:w="10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Pr="00C97459" w:rsidR="5637E949" w:rsidP="00836178" w:rsidRDefault="5637E949" w14:paraId="363F2234" w14:textId="526337B5">
            <w:pPr>
              <w:jc w:val="center"/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  <w:t>16 %</w:t>
            </w:r>
          </w:p>
        </w:tc>
        <w:tc>
          <w:tcPr>
            <w:tcW w:w="141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Pr="00C97459" w:rsidR="5637E949" w:rsidP="00836178" w:rsidRDefault="5637E949" w14:paraId="56FCB0FF" w14:textId="7177E2BA">
            <w:pPr>
              <w:jc w:val="center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  <w:t>29 %</w:t>
            </w:r>
          </w:p>
        </w:tc>
        <w:tc>
          <w:tcPr>
            <w:tcW w:w="120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tcMar/>
            <w:vAlign w:val="bottom"/>
          </w:tcPr>
          <w:p w:rsidRPr="00C97459" w:rsidR="5637E949" w:rsidP="00836178" w:rsidRDefault="5637E949" w14:paraId="59916A08" w14:textId="2349D87F">
            <w:pPr>
              <w:jc w:val="center"/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  <w:t>28 %</w:t>
            </w:r>
          </w:p>
        </w:tc>
        <w:tc>
          <w:tcPr>
            <w:tcW w:w="1266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tcMar/>
            <w:vAlign w:val="bottom"/>
          </w:tcPr>
          <w:p w:rsidRPr="00C97459" w:rsidR="5637E949" w:rsidP="00836178" w:rsidRDefault="5637E949" w14:paraId="3603796F" w14:textId="25BCAD3B">
            <w:pPr>
              <w:jc w:val="center"/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auto"/>
                <w:sz w:val="22"/>
                <w:szCs w:val="22"/>
                <w:lang w:val="sk-SK" w:eastAsia="es-ES"/>
              </w:rPr>
              <w:t>24 %</w:t>
            </w:r>
          </w:p>
        </w:tc>
      </w:tr>
    </w:tbl>
    <w:p w:rsidRPr="00C97459" w:rsidR="49AA317D" w:rsidP="00836178" w:rsidRDefault="49AA317D" w14:paraId="4C09B797" w14:textId="77777777">
      <w:pPr>
        <w:rPr>
          <w:rFonts w:ascii="Calibri" w:hAnsi="Calibri" w:eastAsia="Times New Roman" w:cs="Calibri"/>
          <w:b/>
          <w:bCs/>
          <w:sz w:val="22"/>
          <w:szCs w:val="22"/>
          <w:lang w:val="sk-SK" w:eastAsia="es-ES"/>
        </w:rPr>
      </w:pPr>
      <w:r w:rsidRPr="00C97459">
        <w:rPr>
          <w:rFonts w:ascii="Calibri" w:hAnsi="Calibri" w:eastAsia="Times New Roman" w:cs="Calibri"/>
          <w:b/>
          <w:bCs/>
          <w:sz w:val="22"/>
          <w:szCs w:val="22"/>
          <w:lang w:val="sk-SK" w:eastAsia="es-ES"/>
        </w:rPr>
        <w:t xml:space="preserve">Zdroj: Prieskum </w:t>
      </w:r>
      <w:proofErr w:type="spellStart"/>
      <w:r w:rsidRPr="00C97459">
        <w:rPr>
          <w:rFonts w:ascii="Calibri" w:hAnsi="Calibri" w:eastAsia="Times New Roman" w:cs="Calibri"/>
          <w:b/>
          <w:bCs/>
          <w:sz w:val="22"/>
          <w:szCs w:val="22"/>
          <w:lang w:val="sk-SK" w:eastAsia="es-ES"/>
        </w:rPr>
        <w:t>PlanRadar</w:t>
      </w:r>
      <w:proofErr w:type="spellEnd"/>
      <w:r w:rsidRPr="00C97459">
        <w:rPr>
          <w:rFonts w:ascii="Calibri" w:hAnsi="Calibri" w:eastAsia="Times New Roman" w:cs="Calibri"/>
          <w:b/>
          <w:bCs/>
          <w:sz w:val="22"/>
          <w:szCs w:val="22"/>
          <w:lang w:val="sk-SK" w:eastAsia="es-ES"/>
        </w:rPr>
        <w:t xml:space="preserve"> 2023</w:t>
      </w:r>
    </w:p>
    <w:p w:rsidRPr="00C97459" w:rsidR="00836178" w:rsidP="00836178" w:rsidRDefault="00836178" w14:paraId="287E4A2B" w14:textId="236731AA">
      <w:pPr>
        <w:rPr>
          <w:lang w:val="sk-SK"/>
        </w:rPr>
      </w:pPr>
    </w:p>
    <w:p w:rsidR="3FEA7927" w:rsidP="5DC9EA05" w:rsidRDefault="3FEA7927" w14:paraId="7BB09D28" w14:textId="6FA53FAE">
      <w:pPr>
        <w:rPr>
          <w:lang w:val="sk-SK"/>
        </w:rPr>
      </w:pPr>
      <w:r w:rsidRPr="5DC9EA05" w:rsidR="3FEA7927">
        <w:rPr>
          <w:lang w:val="sk-SK"/>
        </w:rPr>
        <w:t>Tieto investície budú podľa výsledkov prieskumu mieriť hlavne do softvéru a platforiem, ktoré uľahčujú riadenie stavieb a nehnuteľností, čo konkrétne na Slovensku potvrdilo 65 % opýtaných. Druhú najsilnejšiu oblasť by mali tvoriť investície do digitálnych riešení, ktoré podporujú energetickú účinnosť a obnoviteľné energie. Nárast u nich v tuzemsku očakáva 64 % respondentov. Čím ďalej väčšiu pozornosť si tiež získava metóda BIM modelovania, do ktorej predpokladá investíciu 52 % miestnych respondentov.</w:t>
      </w:r>
      <w:r>
        <w:br/>
      </w:r>
      <w:r>
        <w:br/>
      </w:r>
      <w:r w:rsidRPr="5DC9EA05" w:rsidR="3FEA7927">
        <w:rPr>
          <w:i w:val="1"/>
          <w:iCs w:val="1"/>
          <w:lang w:val="sk-SK"/>
        </w:rPr>
        <w:t>„Hoci odborníci z rôznych krajín majú ľahko odlišné preferencie, hlavné trendy, ktoré stavebným biznisom v oblasti nových technológií rezonujú, sa v zásade nelíšia. K nim okrem iného patrí aj možnosť využívania umelej inteligencie a virtuálnej či rozšírenej reality. To si uvedomuje celý rad odborníkov, Slovensko nevynímajúc. Investícia do týchto technológií očakáva 33 %</w:t>
      </w:r>
      <w:r w:rsidRPr="5DC9EA05" w:rsidR="1EB8B99E">
        <w:rPr>
          <w:i w:val="1"/>
          <w:iCs w:val="1"/>
          <w:lang w:val="sk-SK"/>
        </w:rPr>
        <w:t xml:space="preserve"> a</w:t>
      </w:r>
      <w:r w:rsidRPr="5DC9EA05" w:rsidR="3FEA7927">
        <w:rPr>
          <w:i w:val="1"/>
          <w:iCs w:val="1"/>
          <w:lang w:val="sk-SK"/>
        </w:rPr>
        <w:t xml:space="preserve"> 35 % tunajších respondentov,“</w:t>
      </w:r>
      <w:r w:rsidRPr="5DC9EA05" w:rsidR="3FEA7927">
        <w:rPr>
          <w:lang w:val="sk-SK"/>
        </w:rPr>
        <w:t xml:space="preserve"> vysvetľuje </w:t>
      </w:r>
      <w:r w:rsidRPr="5DC9EA05" w:rsidR="3FEA7927">
        <w:rPr>
          <w:b w:val="1"/>
          <w:bCs w:val="1"/>
          <w:lang w:val="sk-SK"/>
        </w:rPr>
        <w:t>Ivan Petráš</w:t>
      </w:r>
      <w:r w:rsidRPr="5DC9EA05" w:rsidR="3FEA7927">
        <w:rPr>
          <w:lang w:val="sk-SK"/>
        </w:rPr>
        <w:t xml:space="preserve"> a dodáva: </w:t>
      </w:r>
      <w:r w:rsidRPr="5DC9EA05" w:rsidR="3FEA7927">
        <w:rPr>
          <w:i w:val="1"/>
          <w:iCs w:val="1"/>
          <w:lang w:val="sk-SK"/>
        </w:rPr>
        <w:t>„</w:t>
      </w:r>
      <w:r w:rsidRPr="5DC9EA05" w:rsidR="3FD35AE7">
        <w:rPr>
          <w:i w:val="1"/>
          <w:iCs w:val="1"/>
          <w:lang w:val="sk-SK"/>
        </w:rPr>
        <w:t>Technológie</w:t>
      </w:r>
      <w:r w:rsidRPr="5DC9EA05" w:rsidR="3FEA7927">
        <w:rPr>
          <w:i w:val="1"/>
          <w:iCs w:val="1"/>
          <w:lang w:val="sk-SK"/>
        </w:rPr>
        <w:t xml:space="preserve"> ako 3D tlač či automatizáciu a robotiku bude väčšina spoločností pôsobiacich v stavebníctve rozvíjať skôr okrajovo, aj keď v tuzemsku pôjde v porovnaní s ostatnými krajinami o nadpriemerných cca 30 %.“</w:t>
      </w:r>
    </w:p>
    <w:p w:rsidR="5DC9EA05" w:rsidP="5DC9EA05" w:rsidRDefault="5DC9EA05" w14:paraId="58DD1725" w14:textId="589221D6">
      <w:pPr>
        <w:pStyle w:val="Normln"/>
        <w:rPr>
          <w:lang w:val="sk-SK"/>
        </w:rPr>
      </w:pPr>
    </w:p>
    <w:p w:rsidRPr="00C97459" w:rsidR="4F5B59DD" w:rsidP="5DC9EA05" w:rsidRDefault="4F5B59DD" w14:paraId="2C72C421" w14:textId="4108E131">
      <w:pPr>
        <w:spacing/>
        <w:contextualSpacing/>
        <w:rPr>
          <w:rFonts w:ascii="Calibri" w:hAnsi="Calibri" w:eastAsia="Times New Roman" w:cs="Calibri"/>
          <w:b w:val="1"/>
          <w:bCs w:val="1"/>
          <w:sz w:val="22"/>
          <w:szCs w:val="22"/>
          <w:lang w:val="sk-SK" w:eastAsia="es-ES"/>
        </w:rPr>
      </w:pPr>
      <w:r w:rsidRPr="5DC9EA05" w:rsidR="6013D46C">
        <w:rPr>
          <w:rFonts w:ascii="Calibri" w:hAnsi="Calibri" w:eastAsia="Times New Roman" w:cs="Calibri"/>
          <w:b w:val="1"/>
          <w:bCs w:val="1"/>
          <w:sz w:val="26"/>
          <w:szCs w:val="26"/>
          <w:lang w:val="sk-SK" w:eastAsia="es-ES"/>
        </w:rPr>
        <w:t xml:space="preserve">Objem investícií do technológií v </w:t>
      </w:r>
      <w:r w:rsidRPr="5DC9EA05" w:rsidR="4D178D07">
        <w:rPr>
          <w:rFonts w:ascii="Calibri" w:hAnsi="Calibri" w:eastAsia="Times New Roman" w:cs="Calibri"/>
          <w:b w:val="1"/>
          <w:bCs w:val="1"/>
          <w:sz w:val="26"/>
          <w:szCs w:val="26"/>
          <w:lang w:val="sk-SK" w:eastAsia="es-ES"/>
        </w:rPr>
        <w:t>daných</w:t>
      </w:r>
      <w:r w:rsidRPr="5DC9EA05" w:rsidR="6013D46C">
        <w:rPr>
          <w:rFonts w:ascii="Calibri" w:hAnsi="Calibri" w:eastAsia="Times New Roman" w:cs="Calibri"/>
          <w:b w:val="1"/>
          <w:bCs w:val="1"/>
          <w:sz w:val="26"/>
          <w:szCs w:val="26"/>
          <w:lang w:val="sk-SK" w:eastAsia="es-ES"/>
        </w:rPr>
        <w:t xml:space="preserve"> oblastiach v nasledujúcich 3 rokoch </w:t>
      </w:r>
      <w:r>
        <w:br/>
      </w:r>
      <w:r w:rsidRPr="5DC9EA05" w:rsidR="6013D46C">
        <w:rPr>
          <w:rFonts w:ascii="Calibri" w:hAnsi="Calibri" w:eastAsia="Times New Roman" w:cs="Calibri"/>
          <w:b w:val="1"/>
          <w:bCs w:val="1"/>
          <w:sz w:val="22"/>
          <w:szCs w:val="22"/>
          <w:lang w:val="sk-SK" w:eastAsia="es-ES"/>
        </w:rPr>
        <w:t xml:space="preserve">% </w:t>
      </w:r>
      <w:r w:rsidRPr="5DC9EA05" w:rsidR="0D0A5C7A">
        <w:rPr>
          <w:rFonts w:ascii="Calibri" w:hAnsi="Calibri" w:eastAsia="Times New Roman" w:cs="Calibri"/>
          <w:b w:val="1"/>
          <w:bCs w:val="1"/>
          <w:sz w:val="22"/>
          <w:szCs w:val="22"/>
          <w:lang w:val="sk-SK" w:eastAsia="es-ES"/>
        </w:rPr>
        <w:t>odpovedí ohľadom výšky investícií vo firmách respondentov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1515"/>
        <w:gridCol w:w="1170"/>
        <w:gridCol w:w="1350"/>
      </w:tblGrid>
      <w:tr w:rsidRPr="00C97459" w:rsidR="00836178" w:rsidTr="5DC9EA05" w14:paraId="1CCE0674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FFFFFF" w:themeFill="background1"/>
            <w:tcMar/>
            <w:vAlign w:val="bottom"/>
          </w:tcPr>
          <w:p w:rsidRPr="00C97459" w:rsidR="00836178" w:rsidP="00836178" w:rsidRDefault="00836178" w14:paraId="1C4BD523" w14:textId="77777777">
            <w:pPr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6D4EF36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Priemerné alebo veľké investície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4B2EBD14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Žiadne investície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00B0F0"/>
            <w:tcMar/>
            <w:vAlign w:val="center"/>
          </w:tcPr>
          <w:p w:rsidRPr="00C97459" w:rsidR="00836178" w:rsidP="00836178" w:rsidRDefault="00836178" w14:paraId="2C45AE8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color w:val="FFFFFF" w:themeColor="background1"/>
                <w:sz w:val="22"/>
                <w:szCs w:val="22"/>
                <w:lang w:val="sk-SK" w:eastAsia="es-ES"/>
              </w:rPr>
              <w:t>Nie som si istý</w:t>
            </w:r>
          </w:p>
        </w:tc>
      </w:tr>
      <w:tr w:rsidRPr="00C97459" w:rsidR="00836178" w:rsidTr="5DC9EA05" w14:paraId="1B8DE443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7C5A8B13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  <w:t>Softvér a platformy pre riadenie výstavby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12399EFB" w14:textId="59AECB4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77 %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06104627" w14:textId="51939E5D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14 %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62C266F4" w14:textId="4DA483D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9 %</w:t>
            </w:r>
          </w:p>
        </w:tc>
      </w:tr>
      <w:tr w:rsidRPr="00C97459" w:rsidR="00836178" w:rsidTr="5DC9EA05" w14:paraId="7F7DEA12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5DC9EA05" w:rsidRDefault="00836178" w14:paraId="35C289BF" w14:textId="77777777">
            <w:pPr>
              <w:jc w:val="left"/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</w:pPr>
            <w:r w:rsidRPr="5DC9EA05" w:rsidR="6FF7704A">
              <w:rPr>
                <w:rFonts w:ascii="Calibri" w:hAnsi="Calibri" w:eastAsia="Times New Roman" w:cs="Calibri"/>
                <w:color w:val="FFFFFF" w:themeColor="background1" w:themeTint="FF" w:themeShade="FF"/>
                <w:sz w:val="22"/>
                <w:szCs w:val="22"/>
                <w:lang w:val="sk-SK" w:eastAsia="es-ES"/>
              </w:rPr>
              <w:t>Energetická efektívnosť a obnoviteľné zdroje energie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4749D36" w14:textId="20E0211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68 %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AE36619" w14:textId="1A2A64DE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21 %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14636160" w14:textId="3BCCC8F2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10 %</w:t>
            </w:r>
          </w:p>
        </w:tc>
      </w:tr>
      <w:tr w:rsidRPr="00C97459" w:rsidR="00836178" w:rsidTr="5DC9EA05" w14:paraId="5804B91E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7084C537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  <w:t>Informačné modelovanie budov (BIM)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0E241CF5" w14:textId="5C299B6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66 %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31C8B690" w14:textId="3033DC2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24 %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E4D1598" w14:textId="4B9F4694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10 %</w:t>
            </w:r>
          </w:p>
        </w:tc>
      </w:tr>
      <w:tr w:rsidRPr="00C97459" w:rsidR="00836178" w:rsidTr="5DC9EA05" w14:paraId="3CCE6265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46C18FA4" w14:textId="6E4694EE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  <w:t>Umelá inteligencia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1C22C721" w14:textId="73B707B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44 %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3C26C9C" w14:textId="15B654C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41 %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08A5F079" w14:textId="2DD2791C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15 %</w:t>
            </w:r>
          </w:p>
        </w:tc>
      </w:tr>
      <w:tr w:rsidRPr="00C97459" w:rsidR="00836178" w:rsidTr="5DC9EA05" w14:paraId="199B983F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2131C205" w14:textId="63BBAFCD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  <w:t>Virtuálna realita a rozšírená realita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6932ADF0" w14:textId="7201D4C3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42 %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0A4AB315" w14:textId="68F7C53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44 %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58638115" w14:textId="2FA83997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14 %</w:t>
            </w:r>
          </w:p>
        </w:tc>
      </w:tr>
      <w:tr w:rsidRPr="00C97459" w:rsidR="00836178" w:rsidTr="5DC9EA05" w14:paraId="02576EFD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3BCCCF9F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  <w:t>3D tlač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4D73940D" w14:textId="08EF609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29 %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5DA489EF" w14:textId="36CFA41A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56 %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7AB0B935" w14:textId="4FD02C59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15 %</w:t>
            </w:r>
          </w:p>
        </w:tc>
      </w:tr>
      <w:tr w:rsidRPr="00C97459" w:rsidR="00836178" w:rsidTr="5DC9EA05" w14:paraId="2A657B3F" w14:textId="77777777">
        <w:trPr>
          <w:trHeight w:val="176"/>
        </w:trPr>
        <w:tc>
          <w:tcPr>
            <w:tcW w:w="4050" w:type="dxa"/>
            <w:tcBorders>
              <w:top w:val="single" w:color="9BC2E6" w:sz="4" w:space="0"/>
              <w:left w:val="single" w:color="9BC2E6" w:sz="4" w:space="0"/>
              <w:bottom w:val="single" w:color="9BC2E6" w:sz="4" w:space="0"/>
              <w:right w:val="nil"/>
            </w:tcBorders>
            <w:shd w:val="clear" w:color="auto" w:fill="00B0F0"/>
            <w:tcMar/>
            <w:vAlign w:val="bottom"/>
          </w:tcPr>
          <w:p w:rsidRPr="00C97459" w:rsidR="00836178" w:rsidP="00836178" w:rsidRDefault="00836178" w14:paraId="7CD47086" w14:textId="77777777">
            <w:pPr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color w:val="FFFFFF" w:themeColor="background1"/>
                <w:sz w:val="22"/>
                <w:szCs w:val="22"/>
                <w:lang w:val="sk-SK" w:eastAsia="es-ES"/>
              </w:rPr>
              <w:t>Robotika</w:t>
            </w:r>
          </w:p>
        </w:tc>
        <w:tc>
          <w:tcPr>
            <w:tcW w:w="1515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6E648671" w14:textId="41F3220F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25 %</w:t>
            </w:r>
          </w:p>
        </w:tc>
        <w:tc>
          <w:tcPr>
            <w:tcW w:w="1170" w:type="dxa"/>
            <w:tcBorders>
              <w:top w:val="single" w:color="9BC2E6" w:sz="4" w:space="0"/>
              <w:left w:val="nil"/>
              <w:bottom w:val="single" w:color="9BC2E6" w:sz="4" w:space="0"/>
              <w:right w:val="nil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62E37092" w14:textId="10DB1240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62 %</w:t>
            </w:r>
          </w:p>
        </w:tc>
        <w:tc>
          <w:tcPr>
            <w:tcW w:w="1350" w:type="dxa"/>
            <w:tcBorders>
              <w:top w:val="single" w:color="9BC2E6" w:sz="4" w:space="0"/>
              <w:left w:val="nil"/>
              <w:bottom w:val="single" w:color="9BC2E6" w:sz="4" w:space="0"/>
              <w:right w:val="single" w:color="9BC2E6" w:sz="4" w:space="0"/>
            </w:tcBorders>
            <w:shd w:val="clear" w:color="auto" w:fill="DDEBF7"/>
            <w:tcMar/>
            <w:vAlign w:val="bottom"/>
          </w:tcPr>
          <w:p w:rsidRPr="00C97459" w:rsidR="00836178" w:rsidP="00836178" w:rsidRDefault="00836178" w14:paraId="2CD1A773" w14:textId="71A64078">
            <w:pPr>
              <w:jc w:val="center"/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sz w:val="22"/>
                <w:szCs w:val="22"/>
                <w:lang w:val="sk-SK" w:eastAsia="es-ES"/>
              </w:rPr>
              <w:t>13 %</w:t>
            </w:r>
          </w:p>
        </w:tc>
      </w:tr>
      <w:tr w:rsidRPr="00C97459" w:rsidR="00836178" w:rsidTr="5DC9EA05" w14:paraId="65BC4001" w14:textId="77777777">
        <w:trPr>
          <w:trHeight w:val="18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782BCE1" w14:textId="77777777">
            <w:pPr>
              <w:contextualSpacing/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</w:pPr>
            <w:r w:rsidRPr="00C97459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  <w:t xml:space="preserve">Zdroj: Prieskum </w:t>
            </w:r>
            <w:proofErr w:type="spellStart"/>
            <w:r w:rsidRPr="00C97459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  <w:t>PlanRadar</w:t>
            </w:r>
            <w:proofErr w:type="spellEnd"/>
            <w:r w:rsidRPr="00C97459"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sk-SK" w:eastAsia="es-ES"/>
              </w:rPr>
              <w:t xml:space="preserve"> 2023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2FD4E532" w14:textId="77777777">
            <w:pPr>
              <w:rPr>
                <w:rFonts w:ascii="Calibri" w:hAnsi="Calibri" w:eastAsia="Times New Roman" w:cs="Calibri"/>
                <w:b/>
                <w:bCs/>
                <w:lang w:val="sk-SK" w:eastAsia="es-ES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</w:tcPr>
          <w:p w:rsidRPr="00C97459" w:rsidR="00836178" w:rsidP="00836178" w:rsidRDefault="00836178" w14:paraId="31AC4369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sk-SK" w:eastAsia="es-ES"/>
              </w:rPr>
            </w:pPr>
          </w:p>
        </w:tc>
      </w:tr>
    </w:tbl>
    <w:p w:rsidR="00C97459" w:rsidP="00836178" w:rsidRDefault="00C97459" w14:paraId="1C6542AB" w14:textId="77777777">
      <w:pPr>
        <w:pStyle w:val="Nadpis1"/>
        <w:spacing w:line="259" w:lineRule="auto"/>
        <w:rPr>
          <w:lang w:val="sk-SK"/>
        </w:rPr>
      </w:pPr>
    </w:p>
    <w:p w:rsidR="00C97459" w:rsidP="00C97459" w:rsidRDefault="3CE22474" w14:paraId="4D1187EB" w14:textId="73BB607A">
      <w:pPr>
        <w:pStyle w:val="Nadpis1"/>
        <w:spacing w:line="259" w:lineRule="auto"/>
        <w:rPr>
          <w:lang w:val="sk-SK"/>
        </w:rPr>
      </w:pPr>
      <w:r w:rsidRPr="5DC9EA05" w:rsidR="5915FCE5">
        <w:rPr>
          <w:lang w:val="sk-SK"/>
        </w:rPr>
        <w:t>Potenciál je obrovský, dôležité je nezaostávať</w:t>
      </w:r>
    </w:p>
    <w:p w:rsidR="5D8F4615" w:rsidP="5DC9EA05" w:rsidRDefault="5D8F4615" w14:paraId="3176ACDC" w14:textId="68985BC2">
      <w:pPr>
        <w:jc w:val="both"/>
      </w:pPr>
      <w:r w:rsidRPr="5DC9EA05" w:rsidR="5D8F4615">
        <w:rPr>
          <w:rFonts w:ascii="Lato" w:hAnsi="Lato" w:eastAsia="Lato" w:cs="Lato"/>
          <w:noProof w:val="0"/>
          <w:color w:val="000000" w:themeColor="text1" w:themeTint="FF" w:themeShade="FF"/>
          <w:sz w:val="24"/>
          <w:szCs w:val="24"/>
          <w:lang w:val="cs"/>
        </w:rPr>
        <w:t xml:space="preserve">Spektrum benefitov spojených s rozmachom digitalizácie v stavebníctve je široké. </w:t>
      </w:r>
      <w:r w:rsidRPr="5DC9EA05" w:rsidR="5D8F4615">
        <w:rPr>
          <w:rFonts w:ascii="Lato" w:hAnsi="Lato" w:eastAsia="Lato" w:cs="Lato"/>
          <w:i w:val="1"/>
          <w:iCs w:val="1"/>
          <w:noProof w:val="0"/>
          <w:color w:val="000000" w:themeColor="text1" w:themeTint="FF" w:themeShade="FF"/>
          <w:sz w:val="24"/>
          <w:szCs w:val="24"/>
          <w:lang w:val="cs"/>
        </w:rPr>
        <w:t>„Je potrebné rozlišovať medzi rôznymi možnosťami digitalizácie, ktoré existujú na trhu, pretože sa líšia čo do náročnosti zavedenia a výšky investície. Avšak sme presvedčení, že z každého, aj malého, technologického pokroku môže firma profitovať. Spoločnosti, ktoré začnú zvyšovať podiel investícií do technologických riešení už teraz, budú tými, ktoré v blízkej dobe budú dosahovať lepšie výsledky z hľadiska efektivity aj výkonnosti,“</w:t>
      </w:r>
      <w:r w:rsidRPr="5DC9EA05" w:rsidR="5D8F4615">
        <w:rPr>
          <w:rFonts w:ascii="Lato" w:hAnsi="Lato" w:eastAsia="Lato" w:cs="Lato"/>
          <w:noProof w:val="0"/>
          <w:color w:val="000000" w:themeColor="text1" w:themeTint="FF" w:themeShade="FF"/>
          <w:sz w:val="24"/>
          <w:szCs w:val="24"/>
          <w:lang w:val="cs"/>
        </w:rPr>
        <w:t xml:space="preserve"> hovorí </w:t>
      </w:r>
      <w:r w:rsidRPr="5DC9EA05" w:rsidR="5D8F4615">
        <w:rPr>
          <w:rFonts w:ascii="Lato" w:hAnsi="Lato" w:eastAsia="Lato" w:cs="Lato"/>
          <w:b w:val="1"/>
          <w:bCs w:val="1"/>
          <w:noProof w:val="0"/>
          <w:color w:val="000000" w:themeColor="text1" w:themeTint="FF" w:themeShade="FF"/>
          <w:sz w:val="24"/>
          <w:szCs w:val="24"/>
          <w:lang w:val="cs"/>
        </w:rPr>
        <w:t>Ivan Petráš</w:t>
      </w:r>
      <w:r w:rsidRPr="5DC9EA05" w:rsidR="5D8F4615">
        <w:rPr>
          <w:rFonts w:ascii="Lato" w:hAnsi="Lato" w:eastAsia="Lato" w:cs="Lato"/>
          <w:noProof w:val="0"/>
          <w:color w:val="000000" w:themeColor="text1" w:themeTint="FF" w:themeShade="FF"/>
          <w:sz w:val="24"/>
          <w:szCs w:val="24"/>
          <w:lang w:val="cs"/>
        </w:rPr>
        <w:t>. Napríklad 95 % odborníkov, ktorí softvér na riadenie stavebných projektov aktuálne využívajú, uvádza, že sa im vďaka jeho zavedeniu znížili náklady v rámci projektov. Celkovo 35 % respondentov usudzuje, že došlo k poklesu o 10 až 30 %, zatiaľ čo 33 % odhaduje zníženie v rozsahu 5 až 10 %.</w:t>
      </w:r>
    </w:p>
    <w:p w:rsidR="5DC9EA05" w:rsidP="5DC9EA05" w:rsidRDefault="5DC9EA05" w14:paraId="63252367" w14:textId="50AEDE4B">
      <w:pPr>
        <w:pStyle w:val="Normln"/>
        <w:rPr>
          <w:lang w:val="sk-SK"/>
        </w:rPr>
      </w:pPr>
    </w:p>
    <w:p w:rsidRPr="00C97459" w:rsidR="00C97459" w:rsidP="00836178" w:rsidRDefault="00C97459" w14:paraId="49D29D0C" w14:textId="77777777">
      <w:pPr>
        <w:rPr>
          <w:lang w:val="sk-SK"/>
        </w:rPr>
      </w:pPr>
    </w:p>
    <w:p w:rsidRPr="00C97459" w:rsidR="003E524E" w:rsidP="00836178" w:rsidRDefault="54A980B7" w14:paraId="43500369" w14:textId="0ADEB79C">
      <w:pPr>
        <w:rPr>
          <w:b/>
          <w:bCs/>
          <w:sz w:val="22"/>
          <w:szCs w:val="22"/>
          <w:u w:val="single"/>
          <w:lang w:val="sk-SK"/>
        </w:rPr>
      </w:pPr>
      <w:r w:rsidRPr="00C97459">
        <w:rPr>
          <w:b/>
          <w:bCs/>
          <w:sz w:val="22"/>
          <w:szCs w:val="22"/>
          <w:u w:val="single"/>
          <w:lang w:val="sk-SK"/>
        </w:rPr>
        <w:t>Viac o prieskume:</w:t>
      </w:r>
    </w:p>
    <w:p w:rsidR="7C3F89F8" w:rsidP="5DC9EA05" w:rsidRDefault="7C3F89F8" w14:paraId="63BE528D" w14:textId="485F889F">
      <w:pPr>
        <w:pStyle w:val="Normln"/>
        <w:rPr>
          <w:sz w:val="22"/>
          <w:szCs w:val="22"/>
          <w:lang w:val="sk-SK"/>
        </w:rPr>
      </w:pPr>
      <w:r w:rsidRPr="5DC9EA05" w:rsidR="7C3F89F8">
        <w:rPr>
          <w:sz w:val="22"/>
          <w:szCs w:val="22"/>
          <w:lang w:val="sk-SK"/>
        </w:rPr>
        <w:t xml:space="preserve">Prieskum spoločnosti </w:t>
      </w:r>
      <w:r w:rsidRPr="5DC9EA05" w:rsidR="7C3F89F8">
        <w:rPr>
          <w:sz w:val="22"/>
          <w:szCs w:val="22"/>
          <w:lang w:val="sk-SK"/>
        </w:rPr>
        <w:t>PlanRadar</w:t>
      </w:r>
      <w:r w:rsidRPr="5DC9EA05" w:rsidR="7C3F89F8">
        <w:rPr>
          <w:sz w:val="22"/>
          <w:szCs w:val="22"/>
          <w:lang w:val="sk-SK"/>
        </w:rPr>
        <w:t xml:space="preserve"> prebehol v septembri 2023 v 15 krajinách sveta: na Slovensku, v Českej republike, Nemecku, Rakúsku, Poľsku, Taliansku, Maďarsku, Rumunsku, Chorvátsku, Srbsku, Austrálii, Brazílii, a ďalej vo Francúzsku, Španielsku a vo Veľkej Británii. Dohromady sa ho zúčastnilo 1 326 respondentov. Kompletné výsledky prieskumu sú k dispozícii na stiahnutie </w:t>
      </w:r>
      <w:hyperlink r:id="R3052958b6b5748da">
        <w:r w:rsidRPr="5DC9EA05" w:rsidR="7C3F89F8">
          <w:rPr>
            <w:rStyle w:val="Hypertextovodkaz"/>
            <w:sz w:val="22"/>
            <w:szCs w:val="22"/>
            <w:lang w:val="sk-SK"/>
          </w:rPr>
          <w:t>tu</w:t>
        </w:r>
      </w:hyperlink>
      <w:r w:rsidRPr="5DC9EA05" w:rsidR="7C3F89F8">
        <w:rPr>
          <w:sz w:val="22"/>
          <w:szCs w:val="22"/>
          <w:lang w:val="sk-SK"/>
        </w:rPr>
        <w:t xml:space="preserve">. </w:t>
      </w:r>
    </w:p>
    <w:p w:rsidRPr="00C97459" w:rsidR="006400CA" w:rsidP="00133A18" w:rsidRDefault="006400CA" w14:paraId="070C0699" w14:textId="66F722B7">
      <w:pPr>
        <w:rPr>
          <w:lang w:val="sk-SK"/>
        </w:rPr>
      </w:pPr>
      <w:r>
        <w:br/>
      </w:r>
    </w:p>
    <w:p w:rsidRPr="00180772" w:rsidR="00C97459" w:rsidP="00C97459" w:rsidRDefault="00C97459" w14:paraId="1180F45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Pre viac informácií, prosím, kontaktujte:</w:t>
      </w:r>
    </w:p>
    <w:p w:rsidRPr="00180772" w:rsidR="00C97459" w:rsidP="00C97459" w:rsidRDefault="00C97459" w14:paraId="1B2B92B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 </w:t>
      </w: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71A844C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Crest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Communications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,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a.s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.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5F637F6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Tereza Štosová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071A741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Account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Executive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1CE49DF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E-mail: </w:t>
      </w:r>
      <w:hyperlink w:tgtFrame="_blank" w:history="1" r:id="rId11">
        <w:r w:rsidRPr="00180772">
          <w:rPr>
            <w:rStyle w:val="normaltextrun"/>
            <w:rFonts w:ascii="Lato" w:hAnsi="Lato" w:cs="Arial"/>
            <w:color w:val="0000FF"/>
            <w:sz w:val="20"/>
            <w:szCs w:val="20"/>
            <w:u w:val="single"/>
            <w:lang w:val="sk-SK"/>
          </w:rPr>
          <w:t>tereza.stosova@crestcom.sk</w:t>
        </w:r>
      </w:hyperlink>
      <w:r w:rsidRPr="00180772">
        <w:rPr>
          <w:rStyle w:val="eop"/>
          <w:rFonts w:ascii="Lato" w:hAnsi="Lato" w:cs="Segoe UI"/>
          <w:sz w:val="20"/>
          <w:szCs w:val="20"/>
          <w:lang w:val="sk-SK"/>
        </w:rPr>
        <w:t> </w:t>
      </w:r>
    </w:p>
    <w:p w:rsidRPr="00180772" w:rsidR="00C97459" w:rsidP="00C97459" w:rsidRDefault="00C97459" w14:paraId="098D50D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www.crestcom.cz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FF"/>
          <w:sz w:val="20"/>
          <w:szCs w:val="20"/>
          <w:lang w:val="sk-SK"/>
        </w:rPr>
        <w:t> </w:t>
      </w:r>
    </w:p>
    <w:p w:rsidRPr="00180772" w:rsidR="00C97459" w:rsidP="00C97459" w:rsidRDefault="00C97459" w14:paraId="0D62495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eop"/>
          <w:rFonts w:ascii="Lato" w:hAnsi="Lato"/>
          <w:sz w:val="20"/>
          <w:szCs w:val="20"/>
          <w:lang w:val="sk-SK"/>
        </w:rPr>
        <w:t> </w:t>
      </w:r>
    </w:p>
    <w:p w:rsidRPr="00180772" w:rsidR="00C97459" w:rsidP="00C97459" w:rsidRDefault="00C97459" w14:paraId="0EA3E87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GmbH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411A0BF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Radek Vodička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1F4A3B2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E-mail: </w:t>
      </w:r>
      <w:hyperlink w:tgtFrame="_blank" w:history="1" r:id="rId12">
        <w:r w:rsidRPr="00180772">
          <w:rPr>
            <w:rStyle w:val="normaltextrun"/>
            <w:rFonts w:ascii="Lato" w:hAnsi="Lato" w:cs="Arial"/>
            <w:color w:val="0000FF"/>
            <w:sz w:val="20"/>
            <w:szCs w:val="20"/>
            <w:u w:val="single"/>
            <w:lang w:val="sk-SK"/>
          </w:rPr>
          <w:t>r.vodicka@planradar.com</w:t>
        </w:r>
      </w:hyperlink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7DCB3B8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www.planradar.com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FF"/>
          <w:sz w:val="20"/>
          <w:szCs w:val="20"/>
          <w:lang w:val="sk-SK"/>
        </w:rPr>
        <w:t> </w:t>
      </w:r>
    </w:p>
    <w:p w:rsidRPr="00180772" w:rsidR="00C97459" w:rsidP="00C97459" w:rsidRDefault="00C97459" w14:paraId="78B6878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0D79FA6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 xml:space="preserve">O spoločnosti </w:t>
      </w:r>
      <w:proofErr w:type="spellStart"/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180772" w:rsidR="00C97459" w:rsidP="00C97459" w:rsidRDefault="00C97459" w14:paraId="1B88B38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je softwarové riešenie pre stavebných a realitných profesionálov pôsobiacich na báze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SaaS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(z anglického Software as a Service). Umožňuje  svojím užívateľom vzdialene sa pripojiť ku cloudovej aplikácii a používať ju z akéhokoľvek miesta prostredníctvom internetu. Je možné ju využiť pre stavebnú dokumentáciu a dozor na stavenisku, riadenie porúch a úloh, odovzdávanie projektov, ich následnú správu a údržbu a pod. Prostredníctvom aplikácie, ktorá je vhodná pre všetky prehliadače a všetky typy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smart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telefónov a tabletov (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iOS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, Android a Windows), je možné sledovať, zaznamenávať a zdieľať s vaším tímom akékoľvek informácie prostredníctvom digitálnych stavebných plánov alebo BIM modelu. Digitalizácia pracovných postupov zlepšuje spoluprácu medzi všetkými účastníkmi stavebného procesu, znižuje počet chýb a šetrí čas. Zákazníci spoločnosti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hlásia úsporu až 7 pracovných hodín týždenne. Spoločnosť so sídlom vo Viedni v Rakúsku a obchodným zastúpením na Slovensku umožňuje viac ako 120 000 užívateľom z viac ako 75 krajín monitorovať, prepájať a riešiť stavebné a realitné projekty po celom svete. Viac informácií o spoločnosti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sa dozviete na stránke 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www.planradar.com/sk/</w:t>
      </w: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.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:rsidRPr="00C97459" w:rsidR="00CC38CA" w:rsidP="00C97459" w:rsidRDefault="00CC38CA" w14:paraId="296C7236" w14:textId="50BD8415">
      <w:pPr>
        <w:rPr>
          <w:sz w:val="20"/>
          <w:szCs w:val="20"/>
          <w:lang w:val="sk-SK"/>
        </w:rPr>
      </w:pPr>
    </w:p>
    <w:sectPr w:rsidRPr="00C97459" w:rsidR="00CC38CA" w:rsidSect="000440C0">
      <w:headerReference w:type="default" r:id="rId13"/>
      <w:footerReference w:type="even" r:id="rId14"/>
      <w:footerReference w:type="default" r:id="rId15"/>
      <w:pgSz w:w="11900" w:h="16840" w:orient="portrait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3F1" w:rsidP="00133A18" w:rsidRDefault="008A63F1" w14:paraId="4600C12F" w14:textId="77777777">
      <w:r>
        <w:separator/>
      </w:r>
    </w:p>
    <w:p w:rsidR="008A63F1" w:rsidP="00133A18" w:rsidRDefault="008A63F1" w14:paraId="25FFF793" w14:textId="77777777"/>
  </w:endnote>
  <w:endnote w:type="continuationSeparator" w:id="0">
    <w:p w:rsidR="008A63F1" w:rsidP="00133A18" w:rsidRDefault="008A63F1" w14:paraId="3AE0BAB1" w14:textId="77777777">
      <w:r>
        <w:continuationSeparator/>
      </w:r>
    </w:p>
    <w:p w:rsidR="008A63F1" w:rsidP="00133A18" w:rsidRDefault="008A63F1" w14:paraId="5A66D930" w14:textId="77777777"/>
  </w:endnote>
  <w:endnote w:type="continuationNotice" w:id="1">
    <w:p w:rsidR="008A63F1" w:rsidP="00133A18" w:rsidRDefault="008A63F1" w14:paraId="3CB1818D" w14:textId="77777777"/>
    <w:p w:rsidR="008A63F1" w:rsidP="00133A18" w:rsidRDefault="008A63F1" w14:paraId="00C3C2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156" w:rsidP="00133A18" w:rsidRDefault="00636156" w14:paraId="0296C132" w14:textId="7777777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636156" w:rsidP="00133A18" w:rsidRDefault="00636156" w14:paraId="6C7E5023" w14:textId="77777777">
    <w:pPr>
      <w:pStyle w:val="Zpat"/>
    </w:pPr>
  </w:p>
  <w:p w:rsidR="008E5688" w:rsidP="00133A18" w:rsidRDefault="008E5688" w14:paraId="25EBDA62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699F" w:rsidR="00636156" w:rsidP="00133A18" w:rsidRDefault="00636156" w14:paraId="42EBBC88" w14:textId="2D98D965">
    <w:pPr>
      <w:pStyle w:val="Zpat"/>
      <w:rPr>
        <w:rStyle w:val="slostrnky"/>
        <w:rFonts w:ascii="Lato Light" w:hAnsi="Lato Light"/>
      </w:rPr>
    </w:pPr>
  </w:p>
  <w:p w:rsidRPr="00FC699F" w:rsidR="00636156" w:rsidP="00133A18" w:rsidRDefault="00636156" w14:paraId="68AC8106" w14:textId="77777777">
    <w:pPr>
      <w:pStyle w:val="Zpat"/>
    </w:pPr>
    <w:r w:rsidRPr="00FC699F"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3F1" w:rsidP="00133A18" w:rsidRDefault="008A63F1" w14:paraId="6336F42F" w14:textId="77777777">
      <w:r>
        <w:separator/>
      </w:r>
    </w:p>
    <w:p w:rsidR="008A63F1" w:rsidP="00133A18" w:rsidRDefault="008A63F1" w14:paraId="4E429DD1" w14:textId="77777777"/>
  </w:footnote>
  <w:footnote w:type="continuationSeparator" w:id="0">
    <w:p w:rsidR="008A63F1" w:rsidP="00133A18" w:rsidRDefault="008A63F1" w14:paraId="4E7A3618" w14:textId="77777777">
      <w:r>
        <w:continuationSeparator/>
      </w:r>
    </w:p>
    <w:p w:rsidR="008A63F1" w:rsidP="00133A18" w:rsidRDefault="008A63F1" w14:paraId="417A20BE" w14:textId="77777777"/>
  </w:footnote>
  <w:footnote w:type="continuationNotice" w:id="1">
    <w:p w:rsidR="008A63F1" w:rsidP="00133A18" w:rsidRDefault="008A63F1" w14:paraId="0DFF788A" w14:textId="77777777"/>
    <w:p w:rsidR="008A63F1" w:rsidP="00133A18" w:rsidRDefault="008A63F1" w14:paraId="1CBFF231" w14:textId="77777777"/>
  </w:footnote>
  <w:footnote w:id="3190">
    <w:p w:rsidR="5DC9EA05" w:rsidP="5DC9EA05" w:rsidRDefault="5DC9EA05" w14:paraId="208C8BD0" w14:textId="056466F6">
      <w:pPr>
        <w:pStyle w:val="Textpoznpodarou"/>
      </w:pPr>
      <w:r w:rsidRPr="5DC9EA05">
        <w:rPr>
          <w:rStyle w:val="Znakapoznpodarou"/>
        </w:rPr>
        <w:footnoteRef/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Pri</w:t>
      </w:r>
      <w:r w:rsidRPr="5DC9EA05" w:rsidR="5DC9EA05">
        <w:rPr>
          <w:noProof w:val="0"/>
          <w:lang w:val="sk-SK"/>
        </w:rPr>
        <w:t xml:space="preserve"> tomto čísle </w:t>
      </w:r>
      <w:r w:rsidRPr="5DC9EA05" w:rsidR="5DC9EA05">
        <w:rPr>
          <w:noProof w:val="0"/>
          <w:lang w:val="sk-SK"/>
        </w:rPr>
        <w:t>boli</w:t>
      </w:r>
      <w:r w:rsidRPr="5DC9EA05" w:rsidR="5DC9EA05">
        <w:rPr>
          <w:noProof w:val="0"/>
          <w:lang w:val="sk-SK"/>
        </w:rPr>
        <w:t xml:space="preserve"> braní do úvahy len </w:t>
      </w:r>
      <w:r w:rsidRPr="5DC9EA05" w:rsidR="5DC9EA05">
        <w:rPr>
          <w:noProof w:val="0"/>
          <w:lang w:val="sk-SK"/>
        </w:rPr>
        <w:t>tí</w:t>
      </w:r>
      <w:r w:rsidRPr="5DC9EA05" w:rsidR="5DC9EA05">
        <w:rPr>
          <w:noProof w:val="0"/>
          <w:lang w:val="sk-SK"/>
        </w:rPr>
        <w:t xml:space="preserve"> respondenti, </w:t>
      </w:r>
      <w:r w:rsidRPr="5DC9EA05" w:rsidR="5DC9EA05">
        <w:rPr>
          <w:noProof w:val="0"/>
          <w:lang w:val="sk-SK"/>
        </w:rPr>
        <w:t>ktorí</w:t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boli</w:t>
      </w:r>
      <w:r w:rsidRPr="5DC9EA05" w:rsidR="5DC9EA05">
        <w:rPr>
          <w:noProof w:val="0"/>
          <w:lang w:val="sk-SK"/>
        </w:rPr>
        <w:t xml:space="preserve"> schopní </w:t>
      </w:r>
      <w:r w:rsidRPr="5DC9EA05" w:rsidR="5DC9EA05">
        <w:rPr>
          <w:noProof w:val="0"/>
          <w:lang w:val="sk-SK"/>
        </w:rPr>
        <w:t>odpovedať</w:t>
      </w:r>
      <w:r w:rsidRPr="5DC9EA05" w:rsidR="5DC9EA05">
        <w:rPr>
          <w:noProof w:val="0"/>
          <w:lang w:val="sk-SK"/>
        </w:rPr>
        <w:t xml:space="preserve"> na </w:t>
      </w:r>
      <w:r w:rsidRPr="5DC9EA05" w:rsidR="5DC9EA05">
        <w:rPr>
          <w:noProof w:val="0"/>
          <w:lang w:val="sk-SK"/>
        </w:rPr>
        <w:t>túto</w:t>
      </w:r>
      <w:r w:rsidRPr="5DC9EA05" w:rsidR="5DC9EA05">
        <w:rPr>
          <w:noProof w:val="0"/>
          <w:lang w:val="sk-SK"/>
        </w:rPr>
        <w:t xml:space="preserve"> otázku, </w:t>
      </w:r>
      <w:r w:rsidRPr="5DC9EA05" w:rsidR="5DC9EA05">
        <w:rPr>
          <w:noProof w:val="0"/>
          <w:lang w:val="sk-SK"/>
        </w:rPr>
        <w:t>pretože</w:t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mali</w:t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dostatočný</w:t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prehľad</w:t>
      </w:r>
      <w:r w:rsidRPr="5DC9EA05" w:rsidR="5DC9EA05">
        <w:rPr>
          <w:noProof w:val="0"/>
          <w:lang w:val="sk-SK"/>
        </w:rPr>
        <w:t xml:space="preserve"> o </w:t>
      </w:r>
      <w:r w:rsidRPr="5DC9EA05" w:rsidR="5DC9EA05">
        <w:rPr>
          <w:noProof w:val="0"/>
          <w:lang w:val="sk-SK"/>
        </w:rPr>
        <w:t>náborovej</w:t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stratégii</w:t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svojej</w:t>
      </w:r>
      <w:r w:rsidRPr="5DC9EA05" w:rsidR="5DC9EA05">
        <w:rPr>
          <w:noProof w:val="0"/>
          <w:lang w:val="sk-SK"/>
        </w:rPr>
        <w:t xml:space="preserve"> </w:t>
      </w:r>
      <w:r w:rsidRPr="5DC9EA05" w:rsidR="5DC9EA05">
        <w:rPr>
          <w:noProof w:val="0"/>
          <w:lang w:val="sk-SK"/>
        </w:rPr>
        <w:t>spoločnosti</w:t>
      </w:r>
      <w:r w:rsidRPr="5DC9EA05" w:rsidR="5DC9EA05">
        <w:rPr>
          <w:noProof w:val="0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693A" w:rsidP="00133A18" w:rsidRDefault="00260196" w14:paraId="234D1A1D" w14:textId="5477D23E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Obrázek 4" descr="Detail nápisu&#10;&#10;Popis sa generuje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5688" w:rsidP="00133A18" w:rsidRDefault="008E5688" w14:paraId="18ED1E2C" w14:textId="77777777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884C13"/>
    <w:multiLevelType w:val="hybridMultilevel"/>
    <w:tmpl w:val="8884B3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7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8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9"/>
  </w:num>
  <w:num w:numId="14" w16cid:durableId="1871799182">
    <w:abstractNumId w:val="45"/>
  </w:num>
  <w:num w:numId="15" w16cid:durableId="2128547333">
    <w:abstractNumId w:val="34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4"/>
  </w:num>
  <w:num w:numId="21" w16cid:durableId="651108191">
    <w:abstractNumId w:val="27"/>
  </w:num>
  <w:num w:numId="22" w16cid:durableId="1947230579">
    <w:abstractNumId w:val="36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1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6"/>
  </w:num>
  <w:num w:numId="30" w16cid:durableId="414475492">
    <w:abstractNumId w:val="43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7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5"/>
  </w:num>
  <w:num w:numId="38" w16cid:durableId="174196209">
    <w:abstractNumId w:val="40"/>
  </w:num>
  <w:num w:numId="39" w16cid:durableId="851606152">
    <w:abstractNumId w:val="42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  <w:num w:numId="48" w16cid:durableId="15021130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4E12"/>
    <w:rsid w:val="0000671C"/>
    <w:rsid w:val="00012D9C"/>
    <w:rsid w:val="000177B9"/>
    <w:rsid w:val="000210FC"/>
    <w:rsid w:val="00021E01"/>
    <w:rsid w:val="00023574"/>
    <w:rsid w:val="00027A16"/>
    <w:rsid w:val="00040754"/>
    <w:rsid w:val="000440C0"/>
    <w:rsid w:val="00052063"/>
    <w:rsid w:val="0005457F"/>
    <w:rsid w:val="000584CB"/>
    <w:rsid w:val="0006127B"/>
    <w:rsid w:val="00061A78"/>
    <w:rsid w:val="000650FE"/>
    <w:rsid w:val="00066F38"/>
    <w:rsid w:val="00070C7B"/>
    <w:rsid w:val="00072C2E"/>
    <w:rsid w:val="00077949"/>
    <w:rsid w:val="00081DF1"/>
    <w:rsid w:val="00081FF7"/>
    <w:rsid w:val="0008331E"/>
    <w:rsid w:val="0008568A"/>
    <w:rsid w:val="00086BA2"/>
    <w:rsid w:val="00086E08"/>
    <w:rsid w:val="000927D8"/>
    <w:rsid w:val="000A049D"/>
    <w:rsid w:val="000A07D3"/>
    <w:rsid w:val="000A20A4"/>
    <w:rsid w:val="000A5947"/>
    <w:rsid w:val="000A7D38"/>
    <w:rsid w:val="000B4B51"/>
    <w:rsid w:val="000B6D94"/>
    <w:rsid w:val="000C69DD"/>
    <w:rsid w:val="000C6E33"/>
    <w:rsid w:val="000C6EF3"/>
    <w:rsid w:val="000D1C61"/>
    <w:rsid w:val="000D3B9B"/>
    <w:rsid w:val="000D74EA"/>
    <w:rsid w:val="000E0B24"/>
    <w:rsid w:val="000E65EE"/>
    <w:rsid w:val="000F0406"/>
    <w:rsid w:val="000F2CD5"/>
    <w:rsid w:val="000F5294"/>
    <w:rsid w:val="000F718A"/>
    <w:rsid w:val="00104186"/>
    <w:rsid w:val="00104254"/>
    <w:rsid w:val="0010453A"/>
    <w:rsid w:val="00106E5D"/>
    <w:rsid w:val="00114C2E"/>
    <w:rsid w:val="00120930"/>
    <w:rsid w:val="00121B33"/>
    <w:rsid w:val="001245B4"/>
    <w:rsid w:val="00124A54"/>
    <w:rsid w:val="001254A0"/>
    <w:rsid w:val="00125731"/>
    <w:rsid w:val="001262B8"/>
    <w:rsid w:val="00133A18"/>
    <w:rsid w:val="00140B83"/>
    <w:rsid w:val="0014136A"/>
    <w:rsid w:val="00151F27"/>
    <w:rsid w:val="00152627"/>
    <w:rsid w:val="0015638D"/>
    <w:rsid w:val="001605A8"/>
    <w:rsid w:val="00163869"/>
    <w:rsid w:val="0016562F"/>
    <w:rsid w:val="001670B9"/>
    <w:rsid w:val="00172B38"/>
    <w:rsid w:val="001737CB"/>
    <w:rsid w:val="00180D20"/>
    <w:rsid w:val="00186CEC"/>
    <w:rsid w:val="00187E42"/>
    <w:rsid w:val="00190023"/>
    <w:rsid w:val="001A553A"/>
    <w:rsid w:val="001A7D21"/>
    <w:rsid w:val="001A7E4F"/>
    <w:rsid w:val="001B610A"/>
    <w:rsid w:val="001C0E3E"/>
    <w:rsid w:val="001C16D2"/>
    <w:rsid w:val="001C2E55"/>
    <w:rsid w:val="001C590F"/>
    <w:rsid w:val="001D1D8C"/>
    <w:rsid w:val="001D540C"/>
    <w:rsid w:val="001D5DBA"/>
    <w:rsid w:val="001D7F2F"/>
    <w:rsid w:val="001E0A80"/>
    <w:rsid w:val="001E1484"/>
    <w:rsid w:val="001F1B0B"/>
    <w:rsid w:val="001F4C24"/>
    <w:rsid w:val="001F5E51"/>
    <w:rsid w:val="00203C0F"/>
    <w:rsid w:val="002117FD"/>
    <w:rsid w:val="00215890"/>
    <w:rsid w:val="00215A86"/>
    <w:rsid w:val="00222A25"/>
    <w:rsid w:val="00225EF8"/>
    <w:rsid w:val="00233868"/>
    <w:rsid w:val="0024538A"/>
    <w:rsid w:val="0024636F"/>
    <w:rsid w:val="00260196"/>
    <w:rsid w:val="00260773"/>
    <w:rsid w:val="00271B47"/>
    <w:rsid w:val="00272F42"/>
    <w:rsid w:val="00273F14"/>
    <w:rsid w:val="00281DE5"/>
    <w:rsid w:val="00282D6E"/>
    <w:rsid w:val="00283740"/>
    <w:rsid w:val="00284874"/>
    <w:rsid w:val="00286683"/>
    <w:rsid w:val="00293BEE"/>
    <w:rsid w:val="002A3F1F"/>
    <w:rsid w:val="002A48E4"/>
    <w:rsid w:val="002A689A"/>
    <w:rsid w:val="002A6CD2"/>
    <w:rsid w:val="002D1EF3"/>
    <w:rsid w:val="002D485F"/>
    <w:rsid w:val="002D70DE"/>
    <w:rsid w:val="002E0972"/>
    <w:rsid w:val="002E23E1"/>
    <w:rsid w:val="002E345C"/>
    <w:rsid w:val="002E3521"/>
    <w:rsid w:val="002E4909"/>
    <w:rsid w:val="002F1B3F"/>
    <w:rsid w:val="002F1D17"/>
    <w:rsid w:val="002F27E5"/>
    <w:rsid w:val="002F76E9"/>
    <w:rsid w:val="002F9C47"/>
    <w:rsid w:val="00306C81"/>
    <w:rsid w:val="003108CD"/>
    <w:rsid w:val="00314B0E"/>
    <w:rsid w:val="00325D21"/>
    <w:rsid w:val="00327EA3"/>
    <w:rsid w:val="0033184F"/>
    <w:rsid w:val="003324CE"/>
    <w:rsid w:val="00332F05"/>
    <w:rsid w:val="00353EBF"/>
    <w:rsid w:val="00355972"/>
    <w:rsid w:val="00360ACE"/>
    <w:rsid w:val="003616C9"/>
    <w:rsid w:val="00364739"/>
    <w:rsid w:val="00365699"/>
    <w:rsid w:val="0037003B"/>
    <w:rsid w:val="003729BA"/>
    <w:rsid w:val="00372AAD"/>
    <w:rsid w:val="0037392D"/>
    <w:rsid w:val="00375F0F"/>
    <w:rsid w:val="003769BA"/>
    <w:rsid w:val="00376F8B"/>
    <w:rsid w:val="00390B25"/>
    <w:rsid w:val="003929AE"/>
    <w:rsid w:val="003A01C2"/>
    <w:rsid w:val="003A2236"/>
    <w:rsid w:val="003A32E5"/>
    <w:rsid w:val="003B3975"/>
    <w:rsid w:val="003B6B64"/>
    <w:rsid w:val="003C0338"/>
    <w:rsid w:val="003C1D5A"/>
    <w:rsid w:val="003C4801"/>
    <w:rsid w:val="003C6AA4"/>
    <w:rsid w:val="003D2624"/>
    <w:rsid w:val="003E0503"/>
    <w:rsid w:val="003E1EA4"/>
    <w:rsid w:val="003E30AC"/>
    <w:rsid w:val="003E524E"/>
    <w:rsid w:val="003E6ED5"/>
    <w:rsid w:val="003E77A6"/>
    <w:rsid w:val="003F15A3"/>
    <w:rsid w:val="003F7E86"/>
    <w:rsid w:val="004054AB"/>
    <w:rsid w:val="00417B18"/>
    <w:rsid w:val="00421574"/>
    <w:rsid w:val="00421C10"/>
    <w:rsid w:val="0042249D"/>
    <w:rsid w:val="00423DF8"/>
    <w:rsid w:val="00426019"/>
    <w:rsid w:val="00430811"/>
    <w:rsid w:val="00431D08"/>
    <w:rsid w:val="004375C6"/>
    <w:rsid w:val="0044007A"/>
    <w:rsid w:val="00443127"/>
    <w:rsid w:val="004435EE"/>
    <w:rsid w:val="00444EF4"/>
    <w:rsid w:val="00447837"/>
    <w:rsid w:val="00452AF7"/>
    <w:rsid w:val="00456484"/>
    <w:rsid w:val="00465CC6"/>
    <w:rsid w:val="00466DF8"/>
    <w:rsid w:val="004672B0"/>
    <w:rsid w:val="0047424D"/>
    <w:rsid w:val="00475233"/>
    <w:rsid w:val="00480898"/>
    <w:rsid w:val="004833D7"/>
    <w:rsid w:val="00483BAB"/>
    <w:rsid w:val="004877BB"/>
    <w:rsid w:val="0049514D"/>
    <w:rsid w:val="0049784A"/>
    <w:rsid w:val="004C014B"/>
    <w:rsid w:val="004C569E"/>
    <w:rsid w:val="004D5D92"/>
    <w:rsid w:val="004E0923"/>
    <w:rsid w:val="004E120E"/>
    <w:rsid w:val="004E45C5"/>
    <w:rsid w:val="004E4DCF"/>
    <w:rsid w:val="00502970"/>
    <w:rsid w:val="00510419"/>
    <w:rsid w:val="0051072A"/>
    <w:rsid w:val="00515E38"/>
    <w:rsid w:val="00517923"/>
    <w:rsid w:val="00521ADE"/>
    <w:rsid w:val="005258F2"/>
    <w:rsid w:val="00530597"/>
    <w:rsid w:val="00535889"/>
    <w:rsid w:val="00554120"/>
    <w:rsid w:val="00555790"/>
    <w:rsid w:val="00570386"/>
    <w:rsid w:val="00570B46"/>
    <w:rsid w:val="00574ED2"/>
    <w:rsid w:val="00575E15"/>
    <w:rsid w:val="005768B5"/>
    <w:rsid w:val="00580A67"/>
    <w:rsid w:val="0058425B"/>
    <w:rsid w:val="00584DCD"/>
    <w:rsid w:val="00596682"/>
    <w:rsid w:val="005B62A7"/>
    <w:rsid w:val="005C5966"/>
    <w:rsid w:val="005C6BE3"/>
    <w:rsid w:val="005D11EF"/>
    <w:rsid w:val="005D2C97"/>
    <w:rsid w:val="005D36FD"/>
    <w:rsid w:val="005E0112"/>
    <w:rsid w:val="005E07A3"/>
    <w:rsid w:val="005E4EF1"/>
    <w:rsid w:val="005E7BC1"/>
    <w:rsid w:val="005E7FD0"/>
    <w:rsid w:val="005F133A"/>
    <w:rsid w:val="005F2123"/>
    <w:rsid w:val="005F27ED"/>
    <w:rsid w:val="005F5280"/>
    <w:rsid w:val="005F6490"/>
    <w:rsid w:val="00605B79"/>
    <w:rsid w:val="0060622F"/>
    <w:rsid w:val="00610038"/>
    <w:rsid w:val="00610884"/>
    <w:rsid w:val="006112FF"/>
    <w:rsid w:val="0061645C"/>
    <w:rsid w:val="00625985"/>
    <w:rsid w:val="0063173D"/>
    <w:rsid w:val="00636156"/>
    <w:rsid w:val="006400CA"/>
    <w:rsid w:val="0064049A"/>
    <w:rsid w:val="00653A0E"/>
    <w:rsid w:val="00653B37"/>
    <w:rsid w:val="00660323"/>
    <w:rsid w:val="00664A95"/>
    <w:rsid w:val="00664CCC"/>
    <w:rsid w:val="00670DBA"/>
    <w:rsid w:val="00673FED"/>
    <w:rsid w:val="0067B214"/>
    <w:rsid w:val="0068170B"/>
    <w:rsid w:val="006A0EB4"/>
    <w:rsid w:val="006A5359"/>
    <w:rsid w:val="006B1D00"/>
    <w:rsid w:val="006B1D1B"/>
    <w:rsid w:val="006B3441"/>
    <w:rsid w:val="006B790C"/>
    <w:rsid w:val="006C1E93"/>
    <w:rsid w:val="006C5819"/>
    <w:rsid w:val="006C9F33"/>
    <w:rsid w:val="006D2F69"/>
    <w:rsid w:val="006E25FE"/>
    <w:rsid w:val="006E59FF"/>
    <w:rsid w:val="00701754"/>
    <w:rsid w:val="00704865"/>
    <w:rsid w:val="00711F2F"/>
    <w:rsid w:val="00717422"/>
    <w:rsid w:val="00720BE7"/>
    <w:rsid w:val="00720D21"/>
    <w:rsid w:val="007308AC"/>
    <w:rsid w:val="00740DD8"/>
    <w:rsid w:val="007426CC"/>
    <w:rsid w:val="007435B2"/>
    <w:rsid w:val="007501AD"/>
    <w:rsid w:val="00751345"/>
    <w:rsid w:val="00755085"/>
    <w:rsid w:val="00760476"/>
    <w:rsid w:val="00765F46"/>
    <w:rsid w:val="00767AF9"/>
    <w:rsid w:val="00770814"/>
    <w:rsid w:val="0077203C"/>
    <w:rsid w:val="00776EAF"/>
    <w:rsid w:val="007812E0"/>
    <w:rsid w:val="007842A6"/>
    <w:rsid w:val="00784D8C"/>
    <w:rsid w:val="007857F4"/>
    <w:rsid w:val="00796CC6"/>
    <w:rsid w:val="007A532D"/>
    <w:rsid w:val="007B3004"/>
    <w:rsid w:val="007B6DC7"/>
    <w:rsid w:val="007C51F8"/>
    <w:rsid w:val="007C6BA3"/>
    <w:rsid w:val="007D1265"/>
    <w:rsid w:val="007D3B69"/>
    <w:rsid w:val="007D6823"/>
    <w:rsid w:val="00801C22"/>
    <w:rsid w:val="00804CD5"/>
    <w:rsid w:val="008054C9"/>
    <w:rsid w:val="00806DC2"/>
    <w:rsid w:val="00810408"/>
    <w:rsid w:val="00810F11"/>
    <w:rsid w:val="00812A5F"/>
    <w:rsid w:val="00816014"/>
    <w:rsid w:val="00816625"/>
    <w:rsid w:val="00822607"/>
    <w:rsid w:val="00822D0C"/>
    <w:rsid w:val="00836178"/>
    <w:rsid w:val="00836454"/>
    <w:rsid w:val="008406E8"/>
    <w:rsid w:val="008528D6"/>
    <w:rsid w:val="00854ED2"/>
    <w:rsid w:val="008603CD"/>
    <w:rsid w:val="008610CA"/>
    <w:rsid w:val="00862FE0"/>
    <w:rsid w:val="00864A08"/>
    <w:rsid w:val="0087235A"/>
    <w:rsid w:val="008726A9"/>
    <w:rsid w:val="0087287F"/>
    <w:rsid w:val="008847E4"/>
    <w:rsid w:val="008A2586"/>
    <w:rsid w:val="008A63F1"/>
    <w:rsid w:val="008A6490"/>
    <w:rsid w:val="008A6922"/>
    <w:rsid w:val="008B32B9"/>
    <w:rsid w:val="008B44C4"/>
    <w:rsid w:val="008B56B1"/>
    <w:rsid w:val="008C45AD"/>
    <w:rsid w:val="008D4422"/>
    <w:rsid w:val="008D4E65"/>
    <w:rsid w:val="008E17EF"/>
    <w:rsid w:val="008E5688"/>
    <w:rsid w:val="008F32B9"/>
    <w:rsid w:val="008F7266"/>
    <w:rsid w:val="00911788"/>
    <w:rsid w:val="00912510"/>
    <w:rsid w:val="00913560"/>
    <w:rsid w:val="009141F4"/>
    <w:rsid w:val="00921058"/>
    <w:rsid w:val="00937BF7"/>
    <w:rsid w:val="00944184"/>
    <w:rsid w:val="00954537"/>
    <w:rsid w:val="009552FA"/>
    <w:rsid w:val="00960DA3"/>
    <w:rsid w:val="009643BD"/>
    <w:rsid w:val="0097637F"/>
    <w:rsid w:val="00977324"/>
    <w:rsid w:val="00982661"/>
    <w:rsid w:val="009838B1"/>
    <w:rsid w:val="00983FBA"/>
    <w:rsid w:val="0098568C"/>
    <w:rsid w:val="00995BF0"/>
    <w:rsid w:val="00997C50"/>
    <w:rsid w:val="009A00DA"/>
    <w:rsid w:val="009A3053"/>
    <w:rsid w:val="009A51B1"/>
    <w:rsid w:val="009A5213"/>
    <w:rsid w:val="009A693A"/>
    <w:rsid w:val="009A7445"/>
    <w:rsid w:val="009C368A"/>
    <w:rsid w:val="009D7FF3"/>
    <w:rsid w:val="009E3AEA"/>
    <w:rsid w:val="009E3E3E"/>
    <w:rsid w:val="009F09AE"/>
    <w:rsid w:val="00A0343B"/>
    <w:rsid w:val="00A056EC"/>
    <w:rsid w:val="00A05BAD"/>
    <w:rsid w:val="00A07019"/>
    <w:rsid w:val="00A070ED"/>
    <w:rsid w:val="00A10C5B"/>
    <w:rsid w:val="00A12122"/>
    <w:rsid w:val="00A12127"/>
    <w:rsid w:val="00A14248"/>
    <w:rsid w:val="00A22252"/>
    <w:rsid w:val="00A34BB2"/>
    <w:rsid w:val="00A364E4"/>
    <w:rsid w:val="00A40D30"/>
    <w:rsid w:val="00A44B63"/>
    <w:rsid w:val="00A47BC9"/>
    <w:rsid w:val="00A505EB"/>
    <w:rsid w:val="00A53691"/>
    <w:rsid w:val="00A54EB7"/>
    <w:rsid w:val="00A57CD1"/>
    <w:rsid w:val="00A7225E"/>
    <w:rsid w:val="00A763E6"/>
    <w:rsid w:val="00A77F32"/>
    <w:rsid w:val="00A80063"/>
    <w:rsid w:val="00A83F32"/>
    <w:rsid w:val="00A85B53"/>
    <w:rsid w:val="00A864AA"/>
    <w:rsid w:val="00A9575E"/>
    <w:rsid w:val="00A959F9"/>
    <w:rsid w:val="00AA29FB"/>
    <w:rsid w:val="00AA45E3"/>
    <w:rsid w:val="00AA47A5"/>
    <w:rsid w:val="00AA630F"/>
    <w:rsid w:val="00AA790F"/>
    <w:rsid w:val="00AB03A3"/>
    <w:rsid w:val="00AB3346"/>
    <w:rsid w:val="00AB3D20"/>
    <w:rsid w:val="00AC093F"/>
    <w:rsid w:val="00AC0AB0"/>
    <w:rsid w:val="00AC21F3"/>
    <w:rsid w:val="00AC2921"/>
    <w:rsid w:val="00AC371A"/>
    <w:rsid w:val="00AC7669"/>
    <w:rsid w:val="00AC7CCF"/>
    <w:rsid w:val="00AD27D3"/>
    <w:rsid w:val="00AD6959"/>
    <w:rsid w:val="00AF24CE"/>
    <w:rsid w:val="00AF6B9A"/>
    <w:rsid w:val="00B01801"/>
    <w:rsid w:val="00B1285E"/>
    <w:rsid w:val="00B15FC4"/>
    <w:rsid w:val="00B17A05"/>
    <w:rsid w:val="00B2026D"/>
    <w:rsid w:val="00B22770"/>
    <w:rsid w:val="00B2444E"/>
    <w:rsid w:val="00B24B78"/>
    <w:rsid w:val="00B25ABB"/>
    <w:rsid w:val="00B263E6"/>
    <w:rsid w:val="00B273D6"/>
    <w:rsid w:val="00B3074B"/>
    <w:rsid w:val="00B309BC"/>
    <w:rsid w:val="00B33108"/>
    <w:rsid w:val="00B36196"/>
    <w:rsid w:val="00B46A7B"/>
    <w:rsid w:val="00B51B2B"/>
    <w:rsid w:val="00B51B47"/>
    <w:rsid w:val="00B53474"/>
    <w:rsid w:val="00B55B41"/>
    <w:rsid w:val="00B57CB0"/>
    <w:rsid w:val="00B61CB5"/>
    <w:rsid w:val="00B648CD"/>
    <w:rsid w:val="00B66A8A"/>
    <w:rsid w:val="00B70F2F"/>
    <w:rsid w:val="00B72C3C"/>
    <w:rsid w:val="00B745EF"/>
    <w:rsid w:val="00B74AFE"/>
    <w:rsid w:val="00B853D3"/>
    <w:rsid w:val="00B9441A"/>
    <w:rsid w:val="00BA1065"/>
    <w:rsid w:val="00BA471E"/>
    <w:rsid w:val="00BA7081"/>
    <w:rsid w:val="00BC093F"/>
    <w:rsid w:val="00BC1E94"/>
    <w:rsid w:val="00BC530D"/>
    <w:rsid w:val="00BE1EEA"/>
    <w:rsid w:val="00BE513B"/>
    <w:rsid w:val="00BE57FD"/>
    <w:rsid w:val="00BF78E5"/>
    <w:rsid w:val="00C0169C"/>
    <w:rsid w:val="00C14A3E"/>
    <w:rsid w:val="00C30F04"/>
    <w:rsid w:val="00C322AA"/>
    <w:rsid w:val="00C32F51"/>
    <w:rsid w:val="00C40081"/>
    <w:rsid w:val="00C4250E"/>
    <w:rsid w:val="00C47D27"/>
    <w:rsid w:val="00C5103B"/>
    <w:rsid w:val="00C60DB0"/>
    <w:rsid w:val="00C61488"/>
    <w:rsid w:val="00C61AF6"/>
    <w:rsid w:val="00C6420A"/>
    <w:rsid w:val="00C651A8"/>
    <w:rsid w:val="00C66368"/>
    <w:rsid w:val="00C7312F"/>
    <w:rsid w:val="00C74B25"/>
    <w:rsid w:val="00C7523D"/>
    <w:rsid w:val="00C76624"/>
    <w:rsid w:val="00C76CFE"/>
    <w:rsid w:val="00C83962"/>
    <w:rsid w:val="00C84ACD"/>
    <w:rsid w:val="00C93E93"/>
    <w:rsid w:val="00C94D93"/>
    <w:rsid w:val="00C96544"/>
    <w:rsid w:val="00C97459"/>
    <w:rsid w:val="00CA4053"/>
    <w:rsid w:val="00CB7309"/>
    <w:rsid w:val="00CC1F95"/>
    <w:rsid w:val="00CC38CA"/>
    <w:rsid w:val="00CC47F2"/>
    <w:rsid w:val="00CC4E3A"/>
    <w:rsid w:val="00CC6C0C"/>
    <w:rsid w:val="00CC6C66"/>
    <w:rsid w:val="00CD14C4"/>
    <w:rsid w:val="00CD34A1"/>
    <w:rsid w:val="00CD5224"/>
    <w:rsid w:val="00CD77A5"/>
    <w:rsid w:val="00CE1AAA"/>
    <w:rsid w:val="00CE24C4"/>
    <w:rsid w:val="00CE598B"/>
    <w:rsid w:val="00CE5B23"/>
    <w:rsid w:val="00CF16F7"/>
    <w:rsid w:val="00CF1A0B"/>
    <w:rsid w:val="00CF4B81"/>
    <w:rsid w:val="00CF4C86"/>
    <w:rsid w:val="00D06F6A"/>
    <w:rsid w:val="00D1042D"/>
    <w:rsid w:val="00D114B1"/>
    <w:rsid w:val="00D13E04"/>
    <w:rsid w:val="00D14743"/>
    <w:rsid w:val="00D15A09"/>
    <w:rsid w:val="00D161DC"/>
    <w:rsid w:val="00D16FBC"/>
    <w:rsid w:val="00D248B1"/>
    <w:rsid w:val="00D25998"/>
    <w:rsid w:val="00D27EEF"/>
    <w:rsid w:val="00D3645B"/>
    <w:rsid w:val="00D45003"/>
    <w:rsid w:val="00D5278C"/>
    <w:rsid w:val="00D56632"/>
    <w:rsid w:val="00D576DB"/>
    <w:rsid w:val="00D65A68"/>
    <w:rsid w:val="00D66DF1"/>
    <w:rsid w:val="00D70357"/>
    <w:rsid w:val="00D736A1"/>
    <w:rsid w:val="00D74D46"/>
    <w:rsid w:val="00D81B9A"/>
    <w:rsid w:val="00D84351"/>
    <w:rsid w:val="00D84378"/>
    <w:rsid w:val="00D9247A"/>
    <w:rsid w:val="00D9321A"/>
    <w:rsid w:val="00D93609"/>
    <w:rsid w:val="00DA042E"/>
    <w:rsid w:val="00DA3242"/>
    <w:rsid w:val="00DA73BE"/>
    <w:rsid w:val="00DB090A"/>
    <w:rsid w:val="00DB2C8A"/>
    <w:rsid w:val="00DB2EA0"/>
    <w:rsid w:val="00DB53D9"/>
    <w:rsid w:val="00DB68B9"/>
    <w:rsid w:val="00DC3DDB"/>
    <w:rsid w:val="00DC5356"/>
    <w:rsid w:val="00DC7502"/>
    <w:rsid w:val="00DD0A2F"/>
    <w:rsid w:val="00DD0BA8"/>
    <w:rsid w:val="00DD2B2C"/>
    <w:rsid w:val="00DE56BF"/>
    <w:rsid w:val="00DE6CC4"/>
    <w:rsid w:val="00DF0EDE"/>
    <w:rsid w:val="00DF2500"/>
    <w:rsid w:val="00DF3A3E"/>
    <w:rsid w:val="00DF5A7B"/>
    <w:rsid w:val="00E054CE"/>
    <w:rsid w:val="00E168DE"/>
    <w:rsid w:val="00E226E7"/>
    <w:rsid w:val="00E23093"/>
    <w:rsid w:val="00E3243E"/>
    <w:rsid w:val="00E32A96"/>
    <w:rsid w:val="00E40898"/>
    <w:rsid w:val="00E42016"/>
    <w:rsid w:val="00E44CFE"/>
    <w:rsid w:val="00E453E8"/>
    <w:rsid w:val="00E51585"/>
    <w:rsid w:val="00E5232E"/>
    <w:rsid w:val="00E52C67"/>
    <w:rsid w:val="00E53CA0"/>
    <w:rsid w:val="00E53D82"/>
    <w:rsid w:val="00E57482"/>
    <w:rsid w:val="00E61260"/>
    <w:rsid w:val="00E71B62"/>
    <w:rsid w:val="00E757CB"/>
    <w:rsid w:val="00E81A4C"/>
    <w:rsid w:val="00E820D2"/>
    <w:rsid w:val="00E827A8"/>
    <w:rsid w:val="00EA4D8C"/>
    <w:rsid w:val="00EB0413"/>
    <w:rsid w:val="00EB0788"/>
    <w:rsid w:val="00EB3C09"/>
    <w:rsid w:val="00EB4D7D"/>
    <w:rsid w:val="00EC52EB"/>
    <w:rsid w:val="00EC5C38"/>
    <w:rsid w:val="00EC74BE"/>
    <w:rsid w:val="00ED0629"/>
    <w:rsid w:val="00ED5A83"/>
    <w:rsid w:val="00EE011B"/>
    <w:rsid w:val="00EE02D3"/>
    <w:rsid w:val="00EE2034"/>
    <w:rsid w:val="00EE2EC7"/>
    <w:rsid w:val="00EE327B"/>
    <w:rsid w:val="00EF0FF0"/>
    <w:rsid w:val="00EF16BE"/>
    <w:rsid w:val="00F054DF"/>
    <w:rsid w:val="00F07049"/>
    <w:rsid w:val="00F13033"/>
    <w:rsid w:val="00F13E46"/>
    <w:rsid w:val="00F17A21"/>
    <w:rsid w:val="00F210C3"/>
    <w:rsid w:val="00F213C5"/>
    <w:rsid w:val="00F21E4E"/>
    <w:rsid w:val="00F22A27"/>
    <w:rsid w:val="00F22A7F"/>
    <w:rsid w:val="00F23CF9"/>
    <w:rsid w:val="00F26154"/>
    <w:rsid w:val="00F2636B"/>
    <w:rsid w:val="00F26F82"/>
    <w:rsid w:val="00F34E5F"/>
    <w:rsid w:val="00F35463"/>
    <w:rsid w:val="00F40C55"/>
    <w:rsid w:val="00F411EF"/>
    <w:rsid w:val="00F5025F"/>
    <w:rsid w:val="00F54E28"/>
    <w:rsid w:val="00F54F5C"/>
    <w:rsid w:val="00F56335"/>
    <w:rsid w:val="00F61E84"/>
    <w:rsid w:val="00F63142"/>
    <w:rsid w:val="00F671E6"/>
    <w:rsid w:val="00F67580"/>
    <w:rsid w:val="00F71FED"/>
    <w:rsid w:val="00F74BCB"/>
    <w:rsid w:val="00F75756"/>
    <w:rsid w:val="00F769C5"/>
    <w:rsid w:val="00F819E9"/>
    <w:rsid w:val="00F82CD9"/>
    <w:rsid w:val="00F87024"/>
    <w:rsid w:val="00F92B74"/>
    <w:rsid w:val="00FA1B0A"/>
    <w:rsid w:val="00FA1B39"/>
    <w:rsid w:val="00FA4731"/>
    <w:rsid w:val="00FB3F26"/>
    <w:rsid w:val="00FB7167"/>
    <w:rsid w:val="00FC23F0"/>
    <w:rsid w:val="00FC699F"/>
    <w:rsid w:val="00FD260D"/>
    <w:rsid w:val="00FD2A96"/>
    <w:rsid w:val="00FD3F1D"/>
    <w:rsid w:val="00FD7C27"/>
    <w:rsid w:val="00FE1A6D"/>
    <w:rsid w:val="00FE61BC"/>
    <w:rsid w:val="00FF2DDB"/>
    <w:rsid w:val="00FF650C"/>
    <w:rsid w:val="00FF766E"/>
    <w:rsid w:val="00FF7D61"/>
    <w:rsid w:val="010D4A54"/>
    <w:rsid w:val="011D3D9A"/>
    <w:rsid w:val="016BFE05"/>
    <w:rsid w:val="018D1A20"/>
    <w:rsid w:val="019B79CE"/>
    <w:rsid w:val="01B10B47"/>
    <w:rsid w:val="01D86E63"/>
    <w:rsid w:val="01DCA77F"/>
    <w:rsid w:val="01DD0809"/>
    <w:rsid w:val="01F05CDC"/>
    <w:rsid w:val="020B8722"/>
    <w:rsid w:val="02156CD8"/>
    <w:rsid w:val="02203071"/>
    <w:rsid w:val="0245D9E5"/>
    <w:rsid w:val="027D9FA9"/>
    <w:rsid w:val="028703E9"/>
    <w:rsid w:val="02E6A3F2"/>
    <w:rsid w:val="0307CE66"/>
    <w:rsid w:val="036BEB2F"/>
    <w:rsid w:val="037877E0"/>
    <w:rsid w:val="03AF88DF"/>
    <w:rsid w:val="03B13D39"/>
    <w:rsid w:val="03CF0062"/>
    <w:rsid w:val="03DE7A98"/>
    <w:rsid w:val="040713F2"/>
    <w:rsid w:val="040DA329"/>
    <w:rsid w:val="042A75AA"/>
    <w:rsid w:val="04857B1C"/>
    <w:rsid w:val="048DBADD"/>
    <w:rsid w:val="049C55C5"/>
    <w:rsid w:val="04B93740"/>
    <w:rsid w:val="04D31A90"/>
    <w:rsid w:val="0501C56F"/>
    <w:rsid w:val="05269145"/>
    <w:rsid w:val="053C6A97"/>
    <w:rsid w:val="0546DACE"/>
    <w:rsid w:val="054B5940"/>
    <w:rsid w:val="056AA7C0"/>
    <w:rsid w:val="05845E24"/>
    <w:rsid w:val="05C6460B"/>
    <w:rsid w:val="05EBA7F2"/>
    <w:rsid w:val="061D7F83"/>
    <w:rsid w:val="06354D42"/>
    <w:rsid w:val="064114A3"/>
    <w:rsid w:val="066A86FC"/>
    <w:rsid w:val="067DB99D"/>
    <w:rsid w:val="068695DD"/>
    <w:rsid w:val="06ABDF86"/>
    <w:rsid w:val="06BE2114"/>
    <w:rsid w:val="06CB92AD"/>
    <w:rsid w:val="070C4AD1"/>
    <w:rsid w:val="07205231"/>
    <w:rsid w:val="078592EF"/>
    <w:rsid w:val="078FCF43"/>
    <w:rsid w:val="07939727"/>
    <w:rsid w:val="07B4D903"/>
    <w:rsid w:val="07D2CD38"/>
    <w:rsid w:val="07D6CC42"/>
    <w:rsid w:val="083906DE"/>
    <w:rsid w:val="085E3207"/>
    <w:rsid w:val="08661427"/>
    <w:rsid w:val="0884AE5C"/>
    <w:rsid w:val="08A24882"/>
    <w:rsid w:val="08A599FF"/>
    <w:rsid w:val="08A8E3F7"/>
    <w:rsid w:val="08DC905F"/>
    <w:rsid w:val="092D923F"/>
    <w:rsid w:val="09481A2A"/>
    <w:rsid w:val="094B5ACE"/>
    <w:rsid w:val="096859D5"/>
    <w:rsid w:val="098FECF2"/>
    <w:rsid w:val="09AA78DD"/>
    <w:rsid w:val="09D0E3B0"/>
    <w:rsid w:val="09E66336"/>
    <w:rsid w:val="09FAAB36"/>
    <w:rsid w:val="0A1108B4"/>
    <w:rsid w:val="0A2A2880"/>
    <w:rsid w:val="0A3BC88C"/>
    <w:rsid w:val="0AA96F59"/>
    <w:rsid w:val="0B2CB784"/>
    <w:rsid w:val="0B70D85F"/>
    <w:rsid w:val="0B76F408"/>
    <w:rsid w:val="0BAE8B80"/>
    <w:rsid w:val="0BBC4F1E"/>
    <w:rsid w:val="0BE711B7"/>
    <w:rsid w:val="0C020FCD"/>
    <w:rsid w:val="0C3D7515"/>
    <w:rsid w:val="0C773415"/>
    <w:rsid w:val="0C8CC107"/>
    <w:rsid w:val="0CB69E32"/>
    <w:rsid w:val="0CD714CB"/>
    <w:rsid w:val="0CFBD821"/>
    <w:rsid w:val="0D058886"/>
    <w:rsid w:val="0D0A5C7A"/>
    <w:rsid w:val="0D15974A"/>
    <w:rsid w:val="0D187ACD"/>
    <w:rsid w:val="0D4EAC69"/>
    <w:rsid w:val="0D581F7F"/>
    <w:rsid w:val="0D600D05"/>
    <w:rsid w:val="0D865E6B"/>
    <w:rsid w:val="0D9D99F1"/>
    <w:rsid w:val="0DD94576"/>
    <w:rsid w:val="0E06B0C0"/>
    <w:rsid w:val="0E703C25"/>
    <w:rsid w:val="0E7E81A8"/>
    <w:rsid w:val="0EB1D170"/>
    <w:rsid w:val="0EC932F9"/>
    <w:rsid w:val="0EFE37FE"/>
    <w:rsid w:val="0F1501D3"/>
    <w:rsid w:val="0F256589"/>
    <w:rsid w:val="0F2DBF10"/>
    <w:rsid w:val="0F4697E5"/>
    <w:rsid w:val="0F5605EA"/>
    <w:rsid w:val="0FB51924"/>
    <w:rsid w:val="0FCC305C"/>
    <w:rsid w:val="0FD79B59"/>
    <w:rsid w:val="0FDF588A"/>
    <w:rsid w:val="101A5209"/>
    <w:rsid w:val="102EA200"/>
    <w:rsid w:val="1043A67A"/>
    <w:rsid w:val="104418C3"/>
    <w:rsid w:val="106ED4D1"/>
    <w:rsid w:val="10864D2B"/>
    <w:rsid w:val="1097ADC7"/>
    <w:rsid w:val="10F2C6F7"/>
    <w:rsid w:val="1160322A"/>
    <w:rsid w:val="116DDA2B"/>
    <w:rsid w:val="11A4BF5A"/>
    <w:rsid w:val="11D5D312"/>
    <w:rsid w:val="12044DDB"/>
    <w:rsid w:val="1251184E"/>
    <w:rsid w:val="128AA07A"/>
    <w:rsid w:val="12ACB699"/>
    <w:rsid w:val="12CE7975"/>
    <w:rsid w:val="12DF67CE"/>
    <w:rsid w:val="130B9633"/>
    <w:rsid w:val="130F3C1B"/>
    <w:rsid w:val="13250A6E"/>
    <w:rsid w:val="13297365"/>
    <w:rsid w:val="1346B096"/>
    <w:rsid w:val="134ED5F1"/>
    <w:rsid w:val="13531045"/>
    <w:rsid w:val="13873AA7"/>
    <w:rsid w:val="139A357B"/>
    <w:rsid w:val="1426C664"/>
    <w:rsid w:val="144886FA"/>
    <w:rsid w:val="1470AA6D"/>
    <w:rsid w:val="14850750"/>
    <w:rsid w:val="148BEC18"/>
    <w:rsid w:val="14B07F7C"/>
    <w:rsid w:val="14C63134"/>
    <w:rsid w:val="14EF942C"/>
    <w:rsid w:val="14FE6189"/>
    <w:rsid w:val="151991BE"/>
    <w:rsid w:val="157BBAE5"/>
    <w:rsid w:val="157E793D"/>
    <w:rsid w:val="15D99638"/>
    <w:rsid w:val="15F43F9B"/>
    <w:rsid w:val="15FDCFD7"/>
    <w:rsid w:val="1646DCDD"/>
    <w:rsid w:val="1659038D"/>
    <w:rsid w:val="167954D5"/>
    <w:rsid w:val="1679D017"/>
    <w:rsid w:val="169A31EA"/>
    <w:rsid w:val="169DE384"/>
    <w:rsid w:val="16D02CC8"/>
    <w:rsid w:val="16D4A37B"/>
    <w:rsid w:val="17053AF1"/>
    <w:rsid w:val="17193135"/>
    <w:rsid w:val="176CC985"/>
    <w:rsid w:val="178DCA1D"/>
    <w:rsid w:val="178F9C2B"/>
    <w:rsid w:val="17C7B1F8"/>
    <w:rsid w:val="17FA10EE"/>
    <w:rsid w:val="18A2907D"/>
    <w:rsid w:val="18A6E2F9"/>
    <w:rsid w:val="18CBFDE9"/>
    <w:rsid w:val="18D753F3"/>
    <w:rsid w:val="18FC84FB"/>
    <w:rsid w:val="1909881E"/>
    <w:rsid w:val="19327FA1"/>
    <w:rsid w:val="19441B90"/>
    <w:rsid w:val="198A0A44"/>
    <w:rsid w:val="19AC17DB"/>
    <w:rsid w:val="1A3523F9"/>
    <w:rsid w:val="1A40AF89"/>
    <w:rsid w:val="1A46A3D6"/>
    <w:rsid w:val="1A4B7EBB"/>
    <w:rsid w:val="1A63998E"/>
    <w:rsid w:val="1A8147F7"/>
    <w:rsid w:val="1AC73CED"/>
    <w:rsid w:val="1AE0148D"/>
    <w:rsid w:val="1AF89927"/>
    <w:rsid w:val="1AFD7504"/>
    <w:rsid w:val="1B2172F3"/>
    <w:rsid w:val="1B4B1B0E"/>
    <w:rsid w:val="1B908BA3"/>
    <w:rsid w:val="1BDA606E"/>
    <w:rsid w:val="1BDC7FEA"/>
    <w:rsid w:val="1BE48B07"/>
    <w:rsid w:val="1C27608E"/>
    <w:rsid w:val="1C3F242A"/>
    <w:rsid w:val="1C55E8D4"/>
    <w:rsid w:val="1C55FBB0"/>
    <w:rsid w:val="1C7E0D50"/>
    <w:rsid w:val="1C9666B3"/>
    <w:rsid w:val="1CBE0BE7"/>
    <w:rsid w:val="1CE7E585"/>
    <w:rsid w:val="1CEA36C8"/>
    <w:rsid w:val="1D6B9D10"/>
    <w:rsid w:val="1D9178A8"/>
    <w:rsid w:val="1D9F6F0C"/>
    <w:rsid w:val="1DADC190"/>
    <w:rsid w:val="1DE1CF0C"/>
    <w:rsid w:val="1DFEDDAF"/>
    <w:rsid w:val="1E01C6C6"/>
    <w:rsid w:val="1E101886"/>
    <w:rsid w:val="1E134AA6"/>
    <w:rsid w:val="1E329E34"/>
    <w:rsid w:val="1E3D5D56"/>
    <w:rsid w:val="1EB0E2EF"/>
    <w:rsid w:val="1EB8B99E"/>
    <w:rsid w:val="1EC0137A"/>
    <w:rsid w:val="1F358CED"/>
    <w:rsid w:val="1F3B3F6D"/>
    <w:rsid w:val="1F5F0150"/>
    <w:rsid w:val="1F69E333"/>
    <w:rsid w:val="1F8CE5E4"/>
    <w:rsid w:val="1FC5C12B"/>
    <w:rsid w:val="1FD0B13E"/>
    <w:rsid w:val="1FD0E627"/>
    <w:rsid w:val="205A0EBE"/>
    <w:rsid w:val="205BBE97"/>
    <w:rsid w:val="2064876B"/>
    <w:rsid w:val="20CBA206"/>
    <w:rsid w:val="20DB3BCE"/>
    <w:rsid w:val="2105B394"/>
    <w:rsid w:val="21284C49"/>
    <w:rsid w:val="2132215B"/>
    <w:rsid w:val="2164CE04"/>
    <w:rsid w:val="216AB13E"/>
    <w:rsid w:val="216C819F"/>
    <w:rsid w:val="2175BA1A"/>
    <w:rsid w:val="21ACA1C2"/>
    <w:rsid w:val="21CF6648"/>
    <w:rsid w:val="21CFA0FE"/>
    <w:rsid w:val="21E0962B"/>
    <w:rsid w:val="21E883B1"/>
    <w:rsid w:val="220BD3DC"/>
    <w:rsid w:val="227ACDB5"/>
    <w:rsid w:val="22BD722A"/>
    <w:rsid w:val="22CBB3F5"/>
    <w:rsid w:val="232D4D6B"/>
    <w:rsid w:val="233E3298"/>
    <w:rsid w:val="2357A50C"/>
    <w:rsid w:val="23727720"/>
    <w:rsid w:val="23E57253"/>
    <w:rsid w:val="24327273"/>
    <w:rsid w:val="2492B9D6"/>
    <w:rsid w:val="24CDEE0D"/>
    <w:rsid w:val="25148553"/>
    <w:rsid w:val="255685CD"/>
    <w:rsid w:val="256F4A26"/>
    <w:rsid w:val="2572C7B1"/>
    <w:rsid w:val="25ADFF7B"/>
    <w:rsid w:val="25BFFC5A"/>
    <w:rsid w:val="25C296D7"/>
    <w:rsid w:val="25C97C7C"/>
    <w:rsid w:val="2609EF94"/>
    <w:rsid w:val="261F10AB"/>
    <w:rsid w:val="2623787B"/>
    <w:rsid w:val="2652CDF6"/>
    <w:rsid w:val="265502A0"/>
    <w:rsid w:val="26801154"/>
    <w:rsid w:val="2687FA7C"/>
    <w:rsid w:val="2697713F"/>
    <w:rsid w:val="26BBF4D4"/>
    <w:rsid w:val="26FA77A2"/>
    <w:rsid w:val="2710971C"/>
    <w:rsid w:val="2711A452"/>
    <w:rsid w:val="27142E76"/>
    <w:rsid w:val="27342B88"/>
    <w:rsid w:val="274C7F89"/>
    <w:rsid w:val="274E3ED8"/>
    <w:rsid w:val="27781FC4"/>
    <w:rsid w:val="27899D2F"/>
    <w:rsid w:val="27A5BFF5"/>
    <w:rsid w:val="27BAE10C"/>
    <w:rsid w:val="27EE86B6"/>
    <w:rsid w:val="27F7ADAB"/>
    <w:rsid w:val="2838088C"/>
    <w:rsid w:val="286520A3"/>
    <w:rsid w:val="2870E61C"/>
    <w:rsid w:val="28964803"/>
    <w:rsid w:val="28A25A9B"/>
    <w:rsid w:val="2905E396"/>
    <w:rsid w:val="2926C0AB"/>
    <w:rsid w:val="29276C1B"/>
    <w:rsid w:val="2932A6A3"/>
    <w:rsid w:val="2943FDCF"/>
    <w:rsid w:val="29451932"/>
    <w:rsid w:val="29532766"/>
    <w:rsid w:val="295B193D"/>
    <w:rsid w:val="2965EF51"/>
    <w:rsid w:val="2970F233"/>
    <w:rsid w:val="2993D274"/>
    <w:rsid w:val="299C8EEF"/>
    <w:rsid w:val="29B25FBE"/>
    <w:rsid w:val="29BA3AFF"/>
    <w:rsid w:val="29CDA94D"/>
    <w:rsid w:val="29CFCE8C"/>
    <w:rsid w:val="2A00F104"/>
    <w:rsid w:val="2A1A1E50"/>
    <w:rsid w:val="2A657D0E"/>
    <w:rsid w:val="2A708097"/>
    <w:rsid w:val="2AAE23CC"/>
    <w:rsid w:val="2B0FED5E"/>
    <w:rsid w:val="2B1AC6AB"/>
    <w:rsid w:val="2B1ACE60"/>
    <w:rsid w:val="2B3DD250"/>
    <w:rsid w:val="2B51AE68"/>
    <w:rsid w:val="2B74544B"/>
    <w:rsid w:val="2BB0E3A3"/>
    <w:rsid w:val="2BC13B13"/>
    <w:rsid w:val="2BC14185"/>
    <w:rsid w:val="2C1EDD99"/>
    <w:rsid w:val="2C6D0A76"/>
    <w:rsid w:val="2C6E26B1"/>
    <w:rsid w:val="2C702C74"/>
    <w:rsid w:val="2C793037"/>
    <w:rsid w:val="2C8B7A1C"/>
    <w:rsid w:val="2C8E522F"/>
    <w:rsid w:val="2C94D568"/>
    <w:rsid w:val="2C9B4431"/>
    <w:rsid w:val="2CB6ECD4"/>
    <w:rsid w:val="2CB721CC"/>
    <w:rsid w:val="2CB889AC"/>
    <w:rsid w:val="2CCB1ECE"/>
    <w:rsid w:val="2CD42FB1"/>
    <w:rsid w:val="2CD9A2B1"/>
    <w:rsid w:val="2CEF5469"/>
    <w:rsid w:val="2CFB8BDB"/>
    <w:rsid w:val="2D2897FC"/>
    <w:rsid w:val="2D5ECCAB"/>
    <w:rsid w:val="2D6C0171"/>
    <w:rsid w:val="2DB315ED"/>
    <w:rsid w:val="2DFDE368"/>
    <w:rsid w:val="2E150179"/>
    <w:rsid w:val="2E253243"/>
    <w:rsid w:val="2E4CA997"/>
    <w:rsid w:val="2E75D932"/>
    <w:rsid w:val="2E7C9F2B"/>
    <w:rsid w:val="2E848955"/>
    <w:rsid w:val="2E8DF1E9"/>
    <w:rsid w:val="2E9667A4"/>
    <w:rsid w:val="2EC3551F"/>
    <w:rsid w:val="2F084B13"/>
    <w:rsid w:val="2F11C1DF"/>
    <w:rsid w:val="2F11DDDA"/>
    <w:rsid w:val="2F436CD3"/>
    <w:rsid w:val="2F6B3EFD"/>
    <w:rsid w:val="300E2395"/>
    <w:rsid w:val="30114373"/>
    <w:rsid w:val="302059B6"/>
    <w:rsid w:val="304D69BF"/>
    <w:rsid w:val="305B31F1"/>
    <w:rsid w:val="307BF801"/>
    <w:rsid w:val="30BC015A"/>
    <w:rsid w:val="30C635ED"/>
    <w:rsid w:val="30D264B5"/>
    <w:rsid w:val="30FA5F4D"/>
    <w:rsid w:val="3110F57B"/>
    <w:rsid w:val="311C6238"/>
    <w:rsid w:val="314166FC"/>
    <w:rsid w:val="31526BC1"/>
    <w:rsid w:val="31548FC1"/>
    <w:rsid w:val="31791D05"/>
    <w:rsid w:val="31A0AF6D"/>
    <w:rsid w:val="31BC2A17"/>
    <w:rsid w:val="31C2C58C"/>
    <w:rsid w:val="32343E8C"/>
    <w:rsid w:val="3257D1BB"/>
    <w:rsid w:val="325CFF3F"/>
    <w:rsid w:val="32C45932"/>
    <w:rsid w:val="32DF7A57"/>
    <w:rsid w:val="32E8069F"/>
    <w:rsid w:val="32EDE6C9"/>
    <w:rsid w:val="32EFE6C9"/>
    <w:rsid w:val="33046DCD"/>
    <w:rsid w:val="33266350"/>
    <w:rsid w:val="333A6052"/>
    <w:rsid w:val="334CFA03"/>
    <w:rsid w:val="33535C48"/>
    <w:rsid w:val="33DBBC36"/>
    <w:rsid w:val="3461B724"/>
    <w:rsid w:val="346925D7"/>
    <w:rsid w:val="3481504D"/>
    <w:rsid w:val="349B0D16"/>
    <w:rsid w:val="349C269B"/>
    <w:rsid w:val="34AC7FB9"/>
    <w:rsid w:val="34B6DC4C"/>
    <w:rsid w:val="34D47C59"/>
    <w:rsid w:val="34F3CAD9"/>
    <w:rsid w:val="3502EBE0"/>
    <w:rsid w:val="358F727D"/>
    <w:rsid w:val="35B4D53D"/>
    <w:rsid w:val="35FA9636"/>
    <w:rsid w:val="35FD8785"/>
    <w:rsid w:val="3620135E"/>
    <w:rsid w:val="362BDE28"/>
    <w:rsid w:val="3637F6FC"/>
    <w:rsid w:val="36393BBB"/>
    <w:rsid w:val="36699DDC"/>
    <w:rsid w:val="366C33BA"/>
    <w:rsid w:val="36742090"/>
    <w:rsid w:val="3674B9F9"/>
    <w:rsid w:val="367EDEF4"/>
    <w:rsid w:val="3687239F"/>
    <w:rsid w:val="3690D0D9"/>
    <w:rsid w:val="36B34B71"/>
    <w:rsid w:val="36BF0134"/>
    <w:rsid w:val="3707AFAF"/>
    <w:rsid w:val="370AB6B9"/>
    <w:rsid w:val="371DA74A"/>
    <w:rsid w:val="374D0A5F"/>
    <w:rsid w:val="3764E649"/>
    <w:rsid w:val="37835E2D"/>
    <w:rsid w:val="379957E6"/>
    <w:rsid w:val="379A0FBE"/>
    <w:rsid w:val="37BEA646"/>
    <w:rsid w:val="37E3148E"/>
    <w:rsid w:val="37E38B6E"/>
    <w:rsid w:val="380FF0F1"/>
    <w:rsid w:val="38104F9C"/>
    <w:rsid w:val="382488EF"/>
    <w:rsid w:val="382B6B9B"/>
    <w:rsid w:val="3861B92D"/>
    <w:rsid w:val="388709E6"/>
    <w:rsid w:val="388DD61D"/>
    <w:rsid w:val="388E5D77"/>
    <w:rsid w:val="38F39C77"/>
    <w:rsid w:val="393C3BEF"/>
    <w:rsid w:val="393D593C"/>
    <w:rsid w:val="3957B420"/>
    <w:rsid w:val="395814AA"/>
    <w:rsid w:val="3959DA25"/>
    <w:rsid w:val="39651713"/>
    <w:rsid w:val="396FA46E"/>
    <w:rsid w:val="39C73BFC"/>
    <w:rsid w:val="39D525F4"/>
    <w:rsid w:val="3A22DA47"/>
    <w:rsid w:val="3A324EB6"/>
    <w:rsid w:val="3A3EE817"/>
    <w:rsid w:val="3A553016"/>
    <w:rsid w:val="3A58FAF6"/>
    <w:rsid w:val="3AE9AC4B"/>
    <w:rsid w:val="3B0A159E"/>
    <w:rsid w:val="3B1AB550"/>
    <w:rsid w:val="3B235CF2"/>
    <w:rsid w:val="3B3ADED6"/>
    <w:rsid w:val="3B4582FA"/>
    <w:rsid w:val="3BBE40A3"/>
    <w:rsid w:val="3BDB20D2"/>
    <w:rsid w:val="3BEC0DB8"/>
    <w:rsid w:val="3C0ACF35"/>
    <w:rsid w:val="3C333266"/>
    <w:rsid w:val="3C444268"/>
    <w:rsid w:val="3C912302"/>
    <w:rsid w:val="3C947E3B"/>
    <w:rsid w:val="3CA19DE6"/>
    <w:rsid w:val="3CE22474"/>
    <w:rsid w:val="3CE36214"/>
    <w:rsid w:val="3D0B8497"/>
    <w:rsid w:val="3D91E8B0"/>
    <w:rsid w:val="3D995155"/>
    <w:rsid w:val="3E04B830"/>
    <w:rsid w:val="3E2E10F2"/>
    <w:rsid w:val="3E5E263C"/>
    <w:rsid w:val="3E71F2BB"/>
    <w:rsid w:val="3E786540"/>
    <w:rsid w:val="3E79A528"/>
    <w:rsid w:val="3E7F3275"/>
    <w:rsid w:val="3E8F6696"/>
    <w:rsid w:val="3EC9FAC0"/>
    <w:rsid w:val="3ECD2B7F"/>
    <w:rsid w:val="3ED4CAB5"/>
    <w:rsid w:val="3F456B2B"/>
    <w:rsid w:val="3F52AC96"/>
    <w:rsid w:val="3F78E9B5"/>
    <w:rsid w:val="3F999D6C"/>
    <w:rsid w:val="3FAC25F9"/>
    <w:rsid w:val="3FCEE32A"/>
    <w:rsid w:val="3FD35AE7"/>
    <w:rsid w:val="3FD8C5EB"/>
    <w:rsid w:val="3FEA7927"/>
    <w:rsid w:val="4008932B"/>
    <w:rsid w:val="403B5F38"/>
    <w:rsid w:val="4098AFC8"/>
    <w:rsid w:val="40CC0B32"/>
    <w:rsid w:val="40D8DF9D"/>
    <w:rsid w:val="4130DD1F"/>
    <w:rsid w:val="414A524E"/>
    <w:rsid w:val="416AB38B"/>
    <w:rsid w:val="416B06BA"/>
    <w:rsid w:val="416B1415"/>
    <w:rsid w:val="419BB2D3"/>
    <w:rsid w:val="41A5B050"/>
    <w:rsid w:val="41E5DF7E"/>
    <w:rsid w:val="4207946C"/>
    <w:rsid w:val="423BEDE9"/>
    <w:rsid w:val="4246BA49"/>
    <w:rsid w:val="424FA99F"/>
    <w:rsid w:val="4291315F"/>
    <w:rsid w:val="429F595A"/>
    <w:rsid w:val="42D84596"/>
    <w:rsid w:val="42F7C5D6"/>
    <w:rsid w:val="43154019"/>
    <w:rsid w:val="436726BC"/>
    <w:rsid w:val="436E923E"/>
    <w:rsid w:val="437C2117"/>
    <w:rsid w:val="4381AFDF"/>
    <w:rsid w:val="43AE7CC8"/>
    <w:rsid w:val="43B23C93"/>
    <w:rsid w:val="43ECCB53"/>
    <w:rsid w:val="43F51BE0"/>
    <w:rsid w:val="4403521E"/>
    <w:rsid w:val="441BC6E9"/>
    <w:rsid w:val="44730581"/>
    <w:rsid w:val="44839113"/>
    <w:rsid w:val="4486C9CF"/>
    <w:rsid w:val="449A66C7"/>
    <w:rsid w:val="449BD150"/>
    <w:rsid w:val="44A2544D"/>
    <w:rsid w:val="44B4C866"/>
    <w:rsid w:val="44C9C94F"/>
    <w:rsid w:val="44D5E011"/>
    <w:rsid w:val="44E5A2F3"/>
    <w:rsid w:val="44F6617F"/>
    <w:rsid w:val="4539549D"/>
    <w:rsid w:val="4580F4F9"/>
    <w:rsid w:val="458E8A44"/>
    <w:rsid w:val="45AC50C0"/>
    <w:rsid w:val="45C75509"/>
    <w:rsid w:val="45E9B085"/>
    <w:rsid w:val="46205518"/>
    <w:rsid w:val="4628055E"/>
    <w:rsid w:val="468A445A"/>
    <w:rsid w:val="46C6DE84"/>
    <w:rsid w:val="47231AC2"/>
    <w:rsid w:val="4725F2D5"/>
    <w:rsid w:val="472E4AC8"/>
    <w:rsid w:val="474E2B30"/>
    <w:rsid w:val="4762BF74"/>
    <w:rsid w:val="476BD057"/>
    <w:rsid w:val="47714357"/>
    <w:rsid w:val="4784A666"/>
    <w:rsid w:val="47AC3D1D"/>
    <w:rsid w:val="4862AEE5"/>
    <w:rsid w:val="489C2D22"/>
    <w:rsid w:val="48AD02A9"/>
    <w:rsid w:val="48B9A786"/>
    <w:rsid w:val="48BEEB23"/>
    <w:rsid w:val="48EA92D3"/>
    <w:rsid w:val="48FEBCA8"/>
    <w:rsid w:val="4907A0B8"/>
    <w:rsid w:val="49099D13"/>
    <w:rsid w:val="4922C570"/>
    <w:rsid w:val="493669B8"/>
    <w:rsid w:val="49629B43"/>
    <w:rsid w:val="497E3DE4"/>
    <w:rsid w:val="4980250B"/>
    <w:rsid w:val="49914971"/>
    <w:rsid w:val="49AA317D"/>
    <w:rsid w:val="49AFA6E1"/>
    <w:rsid w:val="49C20CEE"/>
    <w:rsid w:val="49CE2441"/>
    <w:rsid w:val="49DE928D"/>
    <w:rsid w:val="49FE7F46"/>
    <w:rsid w:val="4A1FE0AC"/>
    <w:rsid w:val="4A46AC68"/>
    <w:rsid w:val="4A487280"/>
    <w:rsid w:val="4A560DCB"/>
    <w:rsid w:val="4A5ABB84"/>
    <w:rsid w:val="4A5D61C1"/>
    <w:rsid w:val="4AA37119"/>
    <w:rsid w:val="4AC46179"/>
    <w:rsid w:val="4ADD9DC9"/>
    <w:rsid w:val="4ADDCD36"/>
    <w:rsid w:val="4AE30068"/>
    <w:rsid w:val="4AF2D297"/>
    <w:rsid w:val="4AF81AD5"/>
    <w:rsid w:val="4AF8CDFE"/>
    <w:rsid w:val="4B49E6D3"/>
    <w:rsid w:val="4BAA6DB7"/>
    <w:rsid w:val="4BE442E1"/>
    <w:rsid w:val="4BF5ECC5"/>
    <w:rsid w:val="4C052E4B"/>
    <w:rsid w:val="4C357491"/>
    <w:rsid w:val="4C7AD814"/>
    <w:rsid w:val="4C8EA2F8"/>
    <w:rsid w:val="4C964821"/>
    <w:rsid w:val="4CA8BF0D"/>
    <w:rsid w:val="4CEE3F54"/>
    <w:rsid w:val="4D178D07"/>
    <w:rsid w:val="4D1DB9DB"/>
    <w:rsid w:val="4D801342"/>
    <w:rsid w:val="4D8800C8"/>
    <w:rsid w:val="4DDF391D"/>
    <w:rsid w:val="4E057B5F"/>
    <w:rsid w:val="4E321882"/>
    <w:rsid w:val="4E430B58"/>
    <w:rsid w:val="4E4A80B1"/>
    <w:rsid w:val="4E5772F3"/>
    <w:rsid w:val="4E6FE5FF"/>
    <w:rsid w:val="4E861F39"/>
    <w:rsid w:val="4E8F0168"/>
    <w:rsid w:val="4EA7F3A6"/>
    <w:rsid w:val="4EB321FE"/>
    <w:rsid w:val="4EB5EA48"/>
    <w:rsid w:val="4ED1F069"/>
    <w:rsid w:val="4EDC2E59"/>
    <w:rsid w:val="4EE20419"/>
    <w:rsid w:val="4F431472"/>
    <w:rsid w:val="4F545121"/>
    <w:rsid w:val="4F5B59DD"/>
    <w:rsid w:val="4F78DE97"/>
    <w:rsid w:val="4FA06C18"/>
    <w:rsid w:val="4FBCAE0C"/>
    <w:rsid w:val="4FC89C4F"/>
    <w:rsid w:val="500F2E03"/>
    <w:rsid w:val="50391426"/>
    <w:rsid w:val="506DC0CA"/>
    <w:rsid w:val="508F6610"/>
    <w:rsid w:val="50BFA18A"/>
    <w:rsid w:val="50C9FD08"/>
    <w:rsid w:val="5109A1BA"/>
    <w:rsid w:val="511F196A"/>
    <w:rsid w:val="5124970C"/>
    <w:rsid w:val="5138B2C0"/>
    <w:rsid w:val="51587E6D"/>
    <w:rsid w:val="51631127"/>
    <w:rsid w:val="516607AA"/>
    <w:rsid w:val="517A2894"/>
    <w:rsid w:val="5184FE95"/>
    <w:rsid w:val="519BB7B1"/>
    <w:rsid w:val="51C7A070"/>
    <w:rsid w:val="525B71EB"/>
    <w:rsid w:val="527E5CCA"/>
    <w:rsid w:val="5324BE33"/>
    <w:rsid w:val="5349EA03"/>
    <w:rsid w:val="53ACD43B"/>
    <w:rsid w:val="53AFC1C9"/>
    <w:rsid w:val="53B1018C"/>
    <w:rsid w:val="53EC359E"/>
    <w:rsid w:val="5422DEC2"/>
    <w:rsid w:val="5426A429"/>
    <w:rsid w:val="543824E1"/>
    <w:rsid w:val="5484DB30"/>
    <w:rsid w:val="54901F2F"/>
    <w:rsid w:val="54A980B7"/>
    <w:rsid w:val="54B3DE1C"/>
    <w:rsid w:val="54C13834"/>
    <w:rsid w:val="550497C3"/>
    <w:rsid w:val="5529A863"/>
    <w:rsid w:val="55491F73"/>
    <w:rsid w:val="5557F74A"/>
    <w:rsid w:val="555987A2"/>
    <w:rsid w:val="5586B825"/>
    <w:rsid w:val="55929954"/>
    <w:rsid w:val="55F9FA87"/>
    <w:rsid w:val="5637E949"/>
    <w:rsid w:val="5657985D"/>
    <w:rsid w:val="5675834A"/>
    <w:rsid w:val="56B094D8"/>
    <w:rsid w:val="56C8426F"/>
    <w:rsid w:val="56D7A438"/>
    <w:rsid w:val="56DC0C23"/>
    <w:rsid w:val="56EF7042"/>
    <w:rsid w:val="572D8F9C"/>
    <w:rsid w:val="572EE30E"/>
    <w:rsid w:val="57334DCE"/>
    <w:rsid w:val="573BE4C9"/>
    <w:rsid w:val="57440425"/>
    <w:rsid w:val="575647CB"/>
    <w:rsid w:val="578714A7"/>
    <w:rsid w:val="57B13DD1"/>
    <w:rsid w:val="57C61338"/>
    <w:rsid w:val="57FA0935"/>
    <w:rsid w:val="580265FA"/>
    <w:rsid w:val="58114EB8"/>
    <w:rsid w:val="583097CB"/>
    <w:rsid w:val="58D50EED"/>
    <w:rsid w:val="58DCA7EC"/>
    <w:rsid w:val="5915FCE5"/>
    <w:rsid w:val="591FC0DD"/>
    <w:rsid w:val="59388676"/>
    <w:rsid w:val="5997890D"/>
    <w:rsid w:val="59CBFD2B"/>
    <w:rsid w:val="59D808E6"/>
    <w:rsid w:val="59E52588"/>
    <w:rsid w:val="59EAE6A3"/>
    <w:rsid w:val="5A027E5E"/>
    <w:rsid w:val="5A11AEB3"/>
    <w:rsid w:val="5A45D2E0"/>
    <w:rsid w:val="5AB8DA78"/>
    <w:rsid w:val="5AD0ACE7"/>
    <w:rsid w:val="5ADBE664"/>
    <w:rsid w:val="5AF97F67"/>
    <w:rsid w:val="5B3A06BC"/>
    <w:rsid w:val="5B4AE00E"/>
    <w:rsid w:val="5B4FB028"/>
    <w:rsid w:val="5B6356AB"/>
    <w:rsid w:val="5B67CD8C"/>
    <w:rsid w:val="5B708043"/>
    <w:rsid w:val="5B73D947"/>
    <w:rsid w:val="5BC8F707"/>
    <w:rsid w:val="5BCF95D0"/>
    <w:rsid w:val="5BDA4EDD"/>
    <w:rsid w:val="5BFA66AB"/>
    <w:rsid w:val="5C10CFDE"/>
    <w:rsid w:val="5C8EB29A"/>
    <w:rsid w:val="5C995481"/>
    <w:rsid w:val="5CACB448"/>
    <w:rsid w:val="5CD5D71D"/>
    <w:rsid w:val="5D0C50A4"/>
    <w:rsid w:val="5D18735F"/>
    <w:rsid w:val="5D7B190E"/>
    <w:rsid w:val="5D8F4615"/>
    <w:rsid w:val="5D99E432"/>
    <w:rsid w:val="5DC5894F"/>
    <w:rsid w:val="5DC9EA05"/>
    <w:rsid w:val="5DF09395"/>
    <w:rsid w:val="5E036C9B"/>
    <w:rsid w:val="5E1F43A7"/>
    <w:rsid w:val="5E21C600"/>
    <w:rsid w:val="5E22A98A"/>
    <w:rsid w:val="5E24C872"/>
    <w:rsid w:val="5E538164"/>
    <w:rsid w:val="5EAB7A09"/>
    <w:rsid w:val="5EB6E924"/>
    <w:rsid w:val="5EDFC058"/>
    <w:rsid w:val="5EE51FD6"/>
    <w:rsid w:val="5F04D806"/>
    <w:rsid w:val="5F11EF9F"/>
    <w:rsid w:val="5F262C40"/>
    <w:rsid w:val="5F32076D"/>
    <w:rsid w:val="5F36AF1D"/>
    <w:rsid w:val="5F445071"/>
    <w:rsid w:val="5F839868"/>
    <w:rsid w:val="5F9F3CFC"/>
    <w:rsid w:val="5FF5499B"/>
    <w:rsid w:val="6003540D"/>
    <w:rsid w:val="6013D46C"/>
    <w:rsid w:val="6043F166"/>
    <w:rsid w:val="604A92B7"/>
    <w:rsid w:val="6069C10C"/>
    <w:rsid w:val="6095C7AD"/>
    <w:rsid w:val="60C26B85"/>
    <w:rsid w:val="60C4E81F"/>
    <w:rsid w:val="60D46633"/>
    <w:rsid w:val="60D625DE"/>
    <w:rsid w:val="6160CDDA"/>
    <w:rsid w:val="6173F416"/>
    <w:rsid w:val="61877C11"/>
    <w:rsid w:val="619A859A"/>
    <w:rsid w:val="61D70F10"/>
    <w:rsid w:val="61E0F4D4"/>
    <w:rsid w:val="61EB0851"/>
    <w:rsid w:val="6227A27B"/>
    <w:rsid w:val="627E2199"/>
    <w:rsid w:val="62F0EE8F"/>
    <w:rsid w:val="62F7349F"/>
    <w:rsid w:val="62FB2FFF"/>
    <w:rsid w:val="6317C0A3"/>
    <w:rsid w:val="631FF6A9"/>
    <w:rsid w:val="634A9B66"/>
    <w:rsid w:val="635B68AC"/>
    <w:rsid w:val="637B9228"/>
    <w:rsid w:val="637EEB2C"/>
    <w:rsid w:val="63BFEC9E"/>
    <w:rsid w:val="63E0849B"/>
    <w:rsid w:val="63F2748F"/>
    <w:rsid w:val="63F755CF"/>
    <w:rsid w:val="640978A3"/>
    <w:rsid w:val="6429E952"/>
    <w:rsid w:val="64774910"/>
    <w:rsid w:val="64A5C37D"/>
    <w:rsid w:val="64ED6C9F"/>
    <w:rsid w:val="64F25C2A"/>
    <w:rsid w:val="651ABB8D"/>
    <w:rsid w:val="652B699E"/>
    <w:rsid w:val="65563677"/>
    <w:rsid w:val="6564A012"/>
    <w:rsid w:val="65846FEF"/>
    <w:rsid w:val="65BD17AC"/>
    <w:rsid w:val="65C27E15"/>
    <w:rsid w:val="65C802E0"/>
    <w:rsid w:val="65D2BBCB"/>
    <w:rsid w:val="65E0A893"/>
    <w:rsid w:val="65F61FB8"/>
    <w:rsid w:val="65F9EC7B"/>
    <w:rsid w:val="6617C415"/>
    <w:rsid w:val="662E8260"/>
    <w:rsid w:val="663E61C0"/>
    <w:rsid w:val="66A7A52C"/>
    <w:rsid w:val="672D9D91"/>
    <w:rsid w:val="6747C95F"/>
    <w:rsid w:val="674B0347"/>
    <w:rsid w:val="67574FDC"/>
    <w:rsid w:val="676C37A7"/>
    <w:rsid w:val="6799140A"/>
    <w:rsid w:val="67D6795A"/>
    <w:rsid w:val="67DFF034"/>
    <w:rsid w:val="67F856A8"/>
    <w:rsid w:val="6829FCEC"/>
    <w:rsid w:val="68D537DA"/>
    <w:rsid w:val="68E399C0"/>
    <w:rsid w:val="68F3D28D"/>
    <w:rsid w:val="6903C359"/>
    <w:rsid w:val="691F6F67"/>
    <w:rsid w:val="69AF4B2D"/>
    <w:rsid w:val="69B0E4BA"/>
    <w:rsid w:val="69C08464"/>
    <w:rsid w:val="6A0CFAB2"/>
    <w:rsid w:val="6A5EE444"/>
    <w:rsid w:val="6AE04603"/>
    <w:rsid w:val="6B1A4798"/>
    <w:rsid w:val="6B92EC31"/>
    <w:rsid w:val="6B9F5C30"/>
    <w:rsid w:val="6BB4801A"/>
    <w:rsid w:val="6BDEBE66"/>
    <w:rsid w:val="6BF01F13"/>
    <w:rsid w:val="6C51DF0F"/>
    <w:rsid w:val="6C57FB1E"/>
    <w:rsid w:val="6C75E92E"/>
    <w:rsid w:val="6CA26629"/>
    <w:rsid w:val="6CD3F447"/>
    <w:rsid w:val="6D055B95"/>
    <w:rsid w:val="6D2DBAF8"/>
    <w:rsid w:val="6D38311A"/>
    <w:rsid w:val="6D3B2C91"/>
    <w:rsid w:val="6D43F778"/>
    <w:rsid w:val="6D54106B"/>
    <w:rsid w:val="6D5DCCD8"/>
    <w:rsid w:val="6D72D20B"/>
    <w:rsid w:val="6DB4485C"/>
    <w:rsid w:val="6DDB792B"/>
    <w:rsid w:val="6DFBFA5B"/>
    <w:rsid w:val="6E08558E"/>
    <w:rsid w:val="6E0C6E43"/>
    <w:rsid w:val="6E1B303F"/>
    <w:rsid w:val="6E3B3C53"/>
    <w:rsid w:val="6E71EBDF"/>
    <w:rsid w:val="6E741347"/>
    <w:rsid w:val="6E84FF8E"/>
    <w:rsid w:val="6EBE44CF"/>
    <w:rsid w:val="6ECECA6A"/>
    <w:rsid w:val="6F0EA26C"/>
    <w:rsid w:val="6F16DBD1"/>
    <w:rsid w:val="6F27BFD5"/>
    <w:rsid w:val="6F7A5102"/>
    <w:rsid w:val="6F8729BC"/>
    <w:rsid w:val="6FBEAF12"/>
    <w:rsid w:val="6FC19ECB"/>
    <w:rsid w:val="6FECC9D2"/>
    <w:rsid w:val="6FF18272"/>
    <w:rsid w:val="6FF7704A"/>
    <w:rsid w:val="70257F12"/>
    <w:rsid w:val="7045BDC3"/>
    <w:rsid w:val="70467387"/>
    <w:rsid w:val="7087AE47"/>
    <w:rsid w:val="70D3C57E"/>
    <w:rsid w:val="70D7A47C"/>
    <w:rsid w:val="70F45D32"/>
    <w:rsid w:val="7105AF01"/>
    <w:rsid w:val="7126A3FF"/>
    <w:rsid w:val="713FF650"/>
    <w:rsid w:val="7148E412"/>
    <w:rsid w:val="7164D554"/>
    <w:rsid w:val="71693E63"/>
    <w:rsid w:val="71704A0C"/>
    <w:rsid w:val="718252FB"/>
    <w:rsid w:val="71A26A6A"/>
    <w:rsid w:val="71A5696F"/>
    <w:rsid w:val="71D12D0B"/>
    <w:rsid w:val="71D193EF"/>
    <w:rsid w:val="71E25468"/>
    <w:rsid w:val="71E644DF"/>
    <w:rsid w:val="71E9CD5C"/>
    <w:rsid w:val="71F0A97F"/>
    <w:rsid w:val="71F52060"/>
    <w:rsid w:val="71F69357"/>
    <w:rsid w:val="72012C1B"/>
    <w:rsid w:val="720859F0"/>
    <w:rsid w:val="720877C2"/>
    <w:rsid w:val="72227F28"/>
    <w:rsid w:val="72237EA8"/>
    <w:rsid w:val="72401C26"/>
    <w:rsid w:val="72408540"/>
    <w:rsid w:val="7248DE77"/>
    <w:rsid w:val="725F6097"/>
    <w:rsid w:val="72780920"/>
    <w:rsid w:val="729A0283"/>
    <w:rsid w:val="72A7B80F"/>
    <w:rsid w:val="733006DD"/>
    <w:rsid w:val="734B3604"/>
    <w:rsid w:val="737582F4"/>
    <w:rsid w:val="73A42A51"/>
    <w:rsid w:val="73D48C59"/>
    <w:rsid w:val="73F77F5E"/>
    <w:rsid w:val="73FBFDFC"/>
    <w:rsid w:val="74088C66"/>
    <w:rsid w:val="741451DF"/>
    <w:rsid w:val="745BC4CD"/>
    <w:rsid w:val="74607286"/>
    <w:rsid w:val="74665BDD"/>
    <w:rsid w:val="749263E4"/>
    <w:rsid w:val="74A61BCD"/>
    <w:rsid w:val="74A94F59"/>
    <w:rsid w:val="74E969F7"/>
    <w:rsid w:val="75087FF4"/>
    <w:rsid w:val="750E2ED1"/>
    <w:rsid w:val="752CC122"/>
    <w:rsid w:val="753B8902"/>
    <w:rsid w:val="7543B26F"/>
    <w:rsid w:val="75970159"/>
    <w:rsid w:val="75A45CC7"/>
    <w:rsid w:val="75B02240"/>
    <w:rsid w:val="75BFF146"/>
    <w:rsid w:val="75E5AC9F"/>
    <w:rsid w:val="75EEAC84"/>
    <w:rsid w:val="764D6CE5"/>
    <w:rsid w:val="76523009"/>
    <w:rsid w:val="768DCE35"/>
    <w:rsid w:val="76B1D474"/>
    <w:rsid w:val="76E2B45A"/>
    <w:rsid w:val="7701D910"/>
    <w:rsid w:val="7728DC0F"/>
    <w:rsid w:val="77402D28"/>
    <w:rsid w:val="77640E9A"/>
    <w:rsid w:val="779CFDA9"/>
    <w:rsid w:val="77A939E6"/>
    <w:rsid w:val="77AF37D4"/>
    <w:rsid w:val="77C61D2C"/>
    <w:rsid w:val="77CFD4C7"/>
    <w:rsid w:val="77D73A74"/>
    <w:rsid w:val="77D9DE24"/>
    <w:rsid w:val="78299E96"/>
    <w:rsid w:val="783D90EF"/>
    <w:rsid w:val="783F3D36"/>
    <w:rsid w:val="78779B74"/>
    <w:rsid w:val="788C24B7"/>
    <w:rsid w:val="788EAE4E"/>
    <w:rsid w:val="788EC452"/>
    <w:rsid w:val="78A5E48A"/>
    <w:rsid w:val="78A5F961"/>
    <w:rsid w:val="78B81FFB"/>
    <w:rsid w:val="78BEDBF2"/>
    <w:rsid w:val="78DBFD89"/>
    <w:rsid w:val="79264D46"/>
    <w:rsid w:val="7937B764"/>
    <w:rsid w:val="793E7155"/>
    <w:rsid w:val="797CC07C"/>
    <w:rsid w:val="797E9599"/>
    <w:rsid w:val="79879691"/>
    <w:rsid w:val="79C56EF7"/>
    <w:rsid w:val="7A27F518"/>
    <w:rsid w:val="7A2C9432"/>
    <w:rsid w:val="7A53F05C"/>
    <w:rsid w:val="7AB0B80F"/>
    <w:rsid w:val="7B2CDB7E"/>
    <w:rsid w:val="7B6A5E0E"/>
    <w:rsid w:val="7BEFC0BD"/>
    <w:rsid w:val="7BF61131"/>
    <w:rsid w:val="7C210A6D"/>
    <w:rsid w:val="7C388C21"/>
    <w:rsid w:val="7C3F89F8"/>
    <w:rsid w:val="7C5BC234"/>
    <w:rsid w:val="7CA67B64"/>
    <w:rsid w:val="7CBE5D45"/>
    <w:rsid w:val="7CC49FF6"/>
    <w:rsid w:val="7CDA7F7C"/>
    <w:rsid w:val="7D0996E5"/>
    <w:rsid w:val="7D2A1B28"/>
    <w:rsid w:val="7D2B113D"/>
    <w:rsid w:val="7D3C4001"/>
    <w:rsid w:val="7D41FBB4"/>
    <w:rsid w:val="7D49AB7E"/>
    <w:rsid w:val="7D59F376"/>
    <w:rsid w:val="7D622187"/>
    <w:rsid w:val="7D7943C6"/>
    <w:rsid w:val="7D95332E"/>
    <w:rsid w:val="7DB08F22"/>
    <w:rsid w:val="7DE740B5"/>
    <w:rsid w:val="7DF124AA"/>
    <w:rsid w:val="7E121009"/>
    <w:rsid w:val="7E1332CE"/>
    <w:rsid w:val="7E1D54D2"/>
    <w:rsid w:val="7E345D42"/>
    <w:rsid w:val="7EA0DF3C"/>
    <w:rsid w:val="7EAC7AE9"/>
    <w:rsid w:val="7EAD8BD6"/>
    <w:rsid w:val="7EBFD917"/>
    <w:rsid w:val="7ECA9931"/>
    <w:rsid w:val="7EE04469"/>
    <w:rsid w:val="7F1498FF"/>
    <w:rsid w:val="7F27C5D6"/>
    <w:rsid w:val="7F363E76"/>
    <w:rsid w:val="7F3DE39F"/>
    <w:rsid w:val="7FD7B225"/>
    <w:rsid w:val="7FE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133A18"/>
    <w:pPr>
      <w:jc w:val="both"/>
    </w:pPr>
    <w:rPr>
      <w:rFonts w:ascii="Lato" w:hAnsi="Lato" w:cs="Calibri Light"/>
      <w:color w:val="000000" w:themeColor="text1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0F718A"/>
    <w:pPr>
      <w:spacing w:before="100" w:beforeAutospacing="1" w:after="100" w:afterAutospacing="1"/>
      <w:outlineLvl w:val="0"/>
    </w:pPr>
    <w:rPr>
      <w:rFonts w:ascii="Lato" w:hAnsi="La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250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styleId="Nadpis1Char" w:customStyle="1">
    <w:name w:val="Nadpis 1 Char"/>
    <w:basedOn w:val="Standardnpsmoodstavce"/>
    <w:link w:val="Nadpis1"/>
    <w:uiPriority w:val="9"/>
    <w:rsid w:val="000F718A"/>
    <w:rPr>
      <w:rFonts w:ascii="Lato" w:hAnsi="Lato" w:eastAsiaTheme="majorEastAsia" w:cstheme="majorBidi"/>
      <w:color w:val="2F5496" w:themeColor="accent1" w:themeShade="BF"/>
      <w:sz w:val="26"/>
      <w:szCs w:val="26"/>
      <w:lang w:val="cs-CZ"/>
    </w:rPr>
  </w:style>
  <w:style w:type="character" w:styleId="Nadpis2Char" w:customStyle="1">
    <w:name w:val="Nadpis 2 Char"/>
    <w:basedOn w:val="Standardnpsmoodstavce"/>
    <w:link w:val="Nadpis2"/>
    <w:uiPriority w:val="9"/>
    <w:rsid w:val="00DE6CC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styleId="ui-provider" w:customStyle="1">
    <w:name w:val="ui-provider"/>
    <w:basedOn w:val="Standardnpsmoodstavce"/>
    <w:rsid w:val="00960DA3"/>
  </w:style>
  <w:style w:type="character" w:styleId="Zstupntext">
    <w:name w:val="Placeholder Text"/>
    <w:basedOn w:val="Standardnpsmoodstavce"/>
    <w:uiPriority w:val="99"/>
    <w:semiHidden/>
    <w:rsid w:val="00D84351"/>
    <w:rPr>
      <w:color w:val="808080"/>
    </w:rPr>
  </w:style>
  <w:style w:type="character" w:styleId="Zdraznn">
    <w:name w:val="Emphasis"/>
    <w:basedOn w:val="Standardnpsmoodstavce"/>
    <w:uiPriority w:val="20"/>
    <w:qFormat/>
    <w:rsid w:val="00A9575E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83BAB"/>
    <w:pPr>
      <w:jc w:val="center"/>
    </w:pPr>
    <w:rPr>
      <w:rFonts w:ascii="Lato Black" w:hAnsi="Lato Black"/>
      <w:b/>
      <w:bCs/>
      <w:sz w:val="32"/>
      <w:szCs w:val="32"/>
    </w:rPr>
  </w:style>
  <w:style w:type="character" w:styleId="NzevChar" w:customStyle="1">
    <w:name w:val="Název Char"/>
    <w:basedOn w:val="Standardnpsmoodstavce"/>
    <w:link w:val="Nzev"/>
    <w:uiPriority w:val="10"/>
    <w:rsid w:val="00483BAB"/>
    <w:rPr>
      <w:rFonts w:ascii="Lato Black" w:hAnsi="Lato Black" w:cs="Calibri Light"/>
      <w:b/>
      <w:bCs/>
      <w:color w:val="000000" w:themeColor="text1"/>
      <w:sz w:val="32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0923"/>
    <w:pPr>
      <w:jc w:val="center"/>
    </w:pPr>
    <w:rPr>
      <w:i/>
      <w:iCs/>
    </w:rPr>
  </w:style>
  <w:style w:type="character" w:styleId="PodnadpisChar" w:customStyle="1">
    <w:name w:val="Podnadpis Char"/>
    <w:basedOn w:val="Standardnpsmoodstavce"/>
    <w:link w:val="Podnadpis"/>
    <w:uiPriority w:val="11"/>
    <w:rsid w:val="004E0923"/>
    <w:rPr>
      <w:rFonts w:ascii="Lato" w:hAnsi="Lato"/>
      <w:i/>
      <w:iCs/>
      <w:color w:val="000000" w:themeColor="text1"/>
      <w:lang w:val="cs-CZ"/>
    </w:rPr>
  </w:style>
  <w:style w:type="character" w:styleId="Nadpis3Char" w:customStyle="1">
    <w:name w:val="Nadpis 3 Char"/>
    <w:basedOn w:val="Standardnpsmoodstavce"/>
    <w:link w:val="Nadpis3"/>
    <w:uiPriority w:val="9"/>
    <w:rsid w:val="00DF2500"/>
    <w:rPr>
      <w:rFonts w:asciiTheme="majorHAnsi" w:hAnsiTheme="majorHAnsi" w:eastAsiaTheme="majorEastAsia" w:cstheme="majorBidi"/>
      <w:color w:val="1F3763" w:themeColor="accent1" w:themeShade="7F"/>
      <w:lang w:val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ln"/>
    <w:rsid w:val="00C97459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color w:val="auto"/>
      <w:lang w:val="en-GB" w:eastAsia="en-GB"/>
    </w:rPr>
  </w:style>
  <w:style w:type="character" w:styleId="normaltextrun" w:customStyle="1">
    <w:name w:val="normaltextrun"/>
    <w:basedOn w:val="Standardnpsmoodstavce"/>
    <w:rsid w:val="00C97459"/>
  </w:style>
  <w:style w:type="character" w:styleId="eop" w:customStyle="1">
    <w:name w:val="eop"/>
    <w:basedOn w:val="Standardnpsmoodstavce"/>
    <w:rsid w:val="00C9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.vodicka@planradar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ereza.stosova@crestcom.s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planradar.com/sk/" TargetMode="External" Id="R3bf72d705089488e" /><Relationship Type="http://schemas.openxmlformats.org/officeDocument/2006/relationships/hyperlink" Target="https://www.planradar.com/sk/ebooks/digitalizacia-stavba-vlastnictva/" TargetMode="External" Id="R3052958b6b5748d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D26B6-3D82-4445-B74C-00D7C7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1ACB2-D20A-49D7-89D0-EED238354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Planradar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Denisa Kolaříková</cp:lastModifiedBy>
  <cp:revision>5</cp:revision>
  <cp:lastPrinted>2019-05-22T08:11:00Z</cp:lastPrinted>
  <dcterms:created xsi:type="dcterms:W3CDTF">2023-07-19T07:37:00Z</dcterms:created>
  <dcterms:modified xsi:type="dcterms:W3CDTF">2023-11-16T10:40:13Z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