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AF0D" w14:textId="77777777" w:rsidR="006C0694" w:rsidRPr="0085622D" w:rsidRDefault="006C0694" w:rsidP="00C00401">
      <w:pPr>
        <w:rPr>
          <w:rFonts w:cs="Open Sans"/>
        </w:rPr>
      </w:pPr>
    </w:p>
    <w:p w14:paraId="0744E5FA" w14:textId="3F14BB82" w:rsidR="00BE39AB" w:rsidRDefault="001C6F2E" w:rsidP="00A62FB4">
      <w:pPr>
        <w:rPr>
          <w:rFonts w:cs="Open Sans"/>
          <w:b/>
          <w:bCs/>
          <w:sz w:val="32"/>
          <w:szCs w:val="32"/>
        </w:rPr>
      </w:pPr>
      <w:r w:rsidRPr="001C6F2E">
        <w:rPr>
          <w:rFonts w:cs="Open Sans"/>
          <w:b/>
          <w:bCs/>
          <w:sz w:val="32"/>
          <w:szCs w:val="32"/>
        </w:rPr>
        <w:t xml:space="preserve">Kryptoměny v roce 2025 zklamaly, instituce ale posílily. Co čekat </w:t>
      </w:r>
      <w:r>
        <w:rPr>
          <w:rFonts w:cs="Open Sans"/>
          <w:b/>
          <w:bCs/>
          <w:sz w:val="32"/>
          <w:szCs w:val="32"/>
        </w:rPr>
        <w:t>po zbytek</w:t>
      </w:r>
      <w:r w:rsidRPr="001C6F2E">
        <w:rPr>
          <w:rFonts w:cs="Open Sans"/>
          <w:b/>
          <w:bCs/>
          <w:sz w:val="32"/>
          <w:szCs w:val="32"/>
        </w:rPr>
        <w:t xml:space="preserve"> ro</w:t>
      </w:r>
      <w:r>
        <w:rPr>
          <w:rFonts w:cs="Open Sans"/>
          <w:b/>
          <w:bCs/>
          <w:sz w:val="32"/>
          <w:szCs w:val="32"/>
        </w:rPr>
        <w:t>ku</w:t>
      </w:r>
      <w:r w:rsidRPr="001C6F2E">
        <w:rPr>
          <w:rFonts w:cs="Open Sans"/>
          <w:b/>
          <w:bCs/>
          <w:sz w:val="32"/>
          <w:szCs w:val="32"/>
        </w:rPr>
        <w:t xml:space="preserve"> 2026?</w:t>
      </w:r>
    </w:p>
    <w:p w14:paraId="5B1FC862" w14:textId="73EDF1FA" w:rsidR="00B522E3" w:rsidRDefault="00581AC6" w:rsidP="00785D3B">
      <w:pPr>
        <w:rPr>
          <w:rFonts w:cs="Open Sans"/>
          <w:b/>
          <w:bCs/>
        </w:rPr>
      </w:pPr>
      <w:r>
        <w:rPr>
          <w:rFonts w:cs="Open Sans"/>
          <w:b/>
          <w:bCs/>
        </w:rPr>
        <w:t xml:space="preserve">Praha </w:t>
      </w:r>
      <w:r w:rsidR="0000786E">
        <w:rPr>
          <w:rFonts w:cs="Open Sans"/>
          <w:b/>
          <w:bCs/>
        </w:rPr>
        <w:t>8</w:t>
      </w:r>
      <w:r>
        <w:rPr>
          <w:rFonts w:cs="Open Sans"/>
          <w:b/>
          <w:bCs/>
        </w:rPr>
        <w:t xml:space="preserve">. </w:t>
      </w:r>
      <w:r w:rsidR="002141DB">
        <w:rPr>
          <w:rFonts w:cs="Open Sans"/>
          <w:b/>
          <w:bCs/>
        </w:rPr>
        <w:t>dubna</w:t>
      </w:r>
      <w:r>
        <w:rPr>
          <w:rFonts w:cs="Open Sans"/>
          <w:b/>
          <w:bCs/>
        </w:rPr>
        <w:t xml:space="preserve"> 202</w:t>
      </w:r>
      <w:r w:rsidR="00214205">
        <w:rPr>
          <w:rFonts w:cs="Open Sans"/>
          <w:b/>
          <w:bCs/>
        </w:rPr>
        <w:t>6</w:t>
      </w:r>
      <w:r>
        <w:rPr>
          <w:rFonts w:cs="Open Sans"/>
          <w:b/>
          <w:bCs/>
        </w:rPr>
        <w:t xml:space="preserve"> </w:t>
      </w:r>
      <w:r w:rsidR="006261F9">
        <w:rPr>
          <w:rFonts w:cs="Open Sans"/>
          <w:b/>
          <w:bCs/>
        </w:rPr>
        <w:t>–</w:t>
      </w:r>
      <w:r w:rsidR="00151589">
        <w:rPr>
          <w:rFonts w:cs="Open Sans"/>
          <w:b/>
          <w:bCs/>
        </w:rPr>
        <w:t xml:space="preserve"> </w:t>
      </w:r>
      <w:r w:rsidR="006D0815" w:rsidRPr="006D0815">
        <w:rPr>
          <w:rFonts w:cs="Open Sans"/>
          <w:b/>
          <w:bCs/>
        </w:rPr>
        <w:t xml:space="preserve">Rok 2025 byl pro kryptoměny z technologického i institucionálního pohledu zásadní, z hlediska výnosnosti však přinesl spíše zklamání. Bitcoin sice dosáhl historického maxima přes 120 000 USD, ale rok zakončil přibližně se ztrátou 6 %. Ostatní kryptoměny dopadly ještě hůře. Zatímco drobní investoři z trhu částečně odcházeli, posilovala role institucí a do fungování trhu významně promluvila evropská regulace </w:t>
      </w:r>
      <w:proofErr w:type="spellStart"/>
      <w:r w:rsidR="006D0815" w:rsidRPr="006D0815">
        <w:rPr>
          <w:rFonts w:cs="Open Sans"/>
          <w:b/>
          <w:bCs/>
        </w:rPr>
        <w:t>MiCA</w:t>
      </w:r>
      <w:proofErr w:type="spellEnd"/>
      <w:r w:rsidR="006D0815" w:rsidRPr="006D0815">
        <w:rPr>
          <w:rFonts w:cs="Open Sans"/>
          <w:b/>
          <w:bCs/>
        </w:rPr>
        <w:t>. Do testování digitálních aktiv se poprvé zapojila i Česká národní banka.</w:t>
      </w:r>
    </w:p>
    <w:p w14:paraId="525154BF" w14:textId="6CD116C0" w:rsidR="007A67EE" w:rsidRDefault="006D0815" w:rsidP="00B806BB">
      <w:pPr>
        <w:rPr>
          <w:rFonts w:cs="Open Sans"/>
        </w:rPr>
      </w:pPr>
      <w:r w:rsidRPr="006D0815">
        <w:rPr>
          <w:rFonts w:cs="Open Sans"/>
        </w:rPr>
        <w:t xml:space="preserve">Kryptoměny už dávno nejsou okrajovou technologickou kuriozitou. Během patnácti let se z experimentu několika nadšenců stal trh s </w:t>
      </w:r>
      <w:proofErr w:type="spellStart"/>
      <w:r w:rsidRPr="006D0815">
        <w:rPr>
          <w:rFonts w:cs="Open Sans"/>
        </w:rPr>
        <w:t>bilionovou</w:t>
      </w:r>
      <w:proofErr w:type="spellEnd"/>
      <w:r w:rsidRPr="006D0815">
        <w:rPr>
          <w:rFonts w:cs="Open Sans"/>
        </w:rPr>
        <w:t xml:space="preserve"> kapitalizací, do něhož vstupují banky, investiční fondy i jednotlivé státy. Přesto byl rok 2025 pro kryptoměny rozporuplný – zatímco z technologického a institucionálního pohledu patřil mezi nejdůležitější, z</w:t>
      </w:r>
      <w:r>
        <w:rPr>
          <w:rFonts w:cs="Open Sans"/>
        </w:rPr>
        <w:t> </w:t>
      </w:r>
      <w:r w:rsidRPr="006D0815">
        <w:rPr>
          <w:rFonts w:cs="Open Sans"/>
        </w:rPr>
        <w:t>pohledu cenového vývoje přinesl investorům spíše zklamání.</w:t>
      </w:r>
    </w:p>
    <w:p w14:paraId="20C8A517" w14:textId="2440C6DD" w:rsidR="006D0815" w:rsidRPr="006D0815" w:rsidRDefault="006D0815" w:rsidP="006D0815">
      <w:pPr>
        <w:rPr>
          <w:rFonts w:cs="Open Sans"/>
          <w:b/>
          <w:bCs/>
        </w:rPr>
      </w:pPr>
      <w:r w:rsidRPr="006D0815">
        <w:rPr>
          <w:rFonts w:cs="Open Sans"/>
          <w:b/>
          <w:bCs/>
        </w:rPr>
        <w:t xml:space="preserve">Rok po </w:t>
      </w:r>
      <w:r>
        <w:rPr>
          <w:rFonts w:cs="Open Sans"/>
          <w:b/>
          <w:bCs/>
        </w:rPr>
        <w:t>„</w:t>
      </w:r>
      <w:proofErr w:type="spellStart"/>
      <w:r w:rsidRPr="006D0815">
        <w:rPr>
          <w:rFonts w:cs="Open Sans"/>
          <w:b/>
          <w:bCs/>
        </w:rPr>
        <w:t>halvingu</w:t>
      </w:r>
      <w:proofErr w:type="spellEnd"/>
      <w:r>
        <w:rPr>
          <w:rFonts w:cs="Open Sans"/>
          <w:b/>
          <w:bCs/>
        </w:rPr>
        <w:t>“</w:t>
      </w:r>
      <w:r w:rsidRPr="006D0815">
        <w:rPr>
          <w:rFonts w:cs="Open Sans"/>
          <w:b/>
          <w:bCs/>
        </w:rPr>
        <w:t xml:space="preserve"> nepřinesl očekávaný růst</w:t>
      </w:r>
    </w:p>
    <w:p w14:paraId="26778E2D" w14:textId="77777777" w:rsidR="00D35E90" w:rsidRDefault="006D0815" w:rsidP="006D0815">
      <w:pPr>
        <w:rPr>
          <w:rFonts w:cs="Open Sans"/>
        </w:rPr>
      </w:pPr>
      <w:r w:rsidRPr="006D0815">
        <w:rPr>
          <w:rFonts w:cs="Open Sans"/>
        </w:rPr>
        <w:t xml:space="preserve">Do roku 2025 vstupoval kryptoměnový trh s optimismem, který vycházel z </w:t>
      </w:r>
      <w:proofErr w:type="spellStart"/>
      <w:r w:rsidRPr="006D0815">
        <w:rPr>
          <w:rFonts w:cs="Open Sans"/>
        </w:rPr>
        <w:t>halvingu</w:t>
      </w:r>
      <w:proofErr w:type="spellEnd"/>
      <w:r w:rsidRPr="006D0815">
        <w:rPr>
          <w:rFonts w:cs="Open Sans"/>
        </w:rPr>
        <w:t xml:space="preserve"> Bitcoinu v roce 2024.</w:t>
      </w:r>
      <w:r>
        <w:rPr>
          <w:rFonts w:cs="Open Sans"/>
        </w:rPr>
        <w:t xml:space="preserve"> </w:t>
      </w:r>
      <w:proofErr w:type="spellStart"/>
      <w:r w:rsidRPr="006D0815">
        <w:rPr>
          <w:rFonts w:cs="Open Sans"/>
        </w:rPr>
        <w:t>Halving</w:t>
      </w:r>
      <w:proofErr w:type="spellEnd"/>
      <w:r w:rsidRPr="006D0815">
        <w:rPr>
          <w:rFonts w:cs="Open Sans"/>
        </w:rPr>
        <w:t xml:space="preserve"> je pravidelné snížení odměny pro těžaře na polovinu, které omezuje přísun nových </w:t>
      </w:r>
      <w:proofErr w:type="spellStart"/>
      <w:r w:rsidRPr="006D0815">
        <w:rPr>
          <w:rFonts w:cs="Open Sans"/>
        </w:rPr>
        <w:t>bitcoinů</w:t>
      </w:r>
      <w:proofErr w:type="spellEnd"/>
      <w:r w:rsidRPr="006D0815">
        <w:rPr>
          <w:rFonts w:cs="Open Sans"/>
        </w:rPr>
        <w:t xml:space="preserve"> do oběhu</w:t>
      </w:r>
      <w:r w:rsidR="00070171">
        <w:rPr>
          <w:rFonts w:cs="Open Sans"/>
        </w:rPr>
        <w:t xml:space="preserve">. </w:t>
      </w:r>
      <w:r w:rsidR="00070171" w:rsidRPr="00070171">
        <w:rPr>
          <w:rFonts w:cs="Open Sans"/>
        </w:rPr>
        <w:t>Historicky totiž rok po této události přinášel výrazný růst ceny. Tento vzorec se však tentokrát nepotvrdil. Bitcoin sice během roku dosáhl historického maxima, když atakoval přibližně 124 000 USD, ale následně oslabil. Roční minimum se pohybovalo kolem 76 000 USD a na konci roku se cena stabilizovala přibližně na 87 000 USD, což znamená meziroční pokles zhruba o 6 %.</w:t>
      </w:r>
    </w:p>
    <w:p w14:paraId="51EB1147" w14:textId="73873E8D" w:rsidR="006D0815" w:rsidRPr="006D0815" w:rsidRDefault="006D0815" w:rsidP="006D0815">
      <w:pPr>
        <w:rPr>
          <w:rFonts w:cs="Open Sans"/>
        </w:rPr>
      </w:pPr>
      <w:r w:rsidRPr="006D0815">
        <w:rPr>
          <w:rFonts w:cs="Open Sans"/>
        </w:rPr>
        <w:t xml:space="preserve">Ostatní kryptoměny dopadly ještě hůře. </w:t>
      </w:r>
      <w:proofErr w:type="spellStart"/>
      <w:r w:rsidRPr="006D0815">
        <w:rPr>
          <w:rFonts w:cs="Open Sans"/>
        </w:rPr>
        <w:t>Ethereum</w:t>
      </w:r>
      <w:proofErr w:type="spellEnd"/>
      <w:r w:rsidRPr="006D0815">
        <w:rPr>
          <w:rFonts w:cs="Open Sans"/>
        </w:rPr>
        <w:t xml:space="preserve"> i </w:t>
      </w:r>
      <w:proofErr w:type="spellStart"/>
      <w:r w:rsidRPr="006D0815">
        <w:rPr>
          <w:rFonts w:cs="Open Sans"/>
        </w:rPr>
        <w:t>Ripple</w:t>
      </w:r>
      <w:proofErr w:type="spellEnd"/>
      <w:r w:rsidRPr="006D0815">
        <w:rPr>
          <w:rFonts w:cs="Open Sans"/>
        </w:rPr>
        <w:t xml:space="preserve"> odepsaly přibližně 10 %, </w:t>
      </w:r>
      <w:proofErr w:type="spellStart"/>
      <w:r w:rsidRPr="006D0815">
        <w:rPr>
          <w:rFonts w:cs="Open Sans"/>
        </w:rPr>
        <w:t>Solana</w:t>
      </w:r>
      <w:proofErr w:type="spellEnd"/>
      <w:r w:rsidRPr="006D0815">
        <w:rPr>
          <w:rFonts w:cs="Open Sans"/>
        </w:rPr>
        <w:t xml:space="preserve"> ztratila 34 % a spekulativní </w:t>
      </w:r>
      <w:proofErr w:type="spellStart"/>
      <w:r w:rsidRPr="006D0815">
        <w:rPr>
          <w:rFonts w:cs="Open Sans"/>
        </w:rPr>
        <w:t>Dogecoin</w:t>
      </w:r>
      <w:proofErr w:type="spellEnd"/>
      <w:r w:rsidRPr="006D0815">
        <w:rPr>
          <w:rFonts w:cs="Open Sans"/>
        </w:rPr>
        <w:t xml:space="preserve"> dokonce 61 %. </w:t>
      </w:r>
    </w:p>
    <w:p w14:paraId="4202C1C9" w14:textId="77777777" w:rsidR="006D0815" w:rsidRPr="006D0815" w:rsidRDefault="006D0815" w:rsidP="006D0815">
      <w:pPr>
        <w:rPr>
          <w:rFonts w:cs="Open Sans"/>
        </w:rPr>
      </w:pPr>
      <w:r w:rsidRPr="006D0815">
        <w:rPr>
          <w:rFonts w:cs="Open Sans"/>
          <w:i/>
          <w:iCs/>
        </w:rPr>
        <w:t>„Rok 2025 ukázal, že kryptoměny už nejsou pouze spekulativním trhem závislým na jednom cyklu. Investoři začínají vnímat širší kontext – konkurenci technologických akcií, měnové vlivy i regulaci. Výsledkem je menší dynamika, ale zároveň postupná profesionalizace celého trhu,“</w:t>
      </w:r>
      <w:r w:rsidRPr="006D0815">
        <w:rPr>
          <w:rFonts w:cs="Open Sans"/>
        </w:rPr>
        <w:t xml:space="preserve"> říká David </w:t>
      </w:r>
      <w:proofErr w:type="spellStart"/>
      <w:r w:rsidRPr="006D0815">
        <w:rPr>
          <w:rFonts w:cs="Open Sans"/>
        </w:rPr>
        <w:t>Pacoň</w:t>
      </w:r>
      <w:proofErr w:type="spellEnd"/>
      <w:r w:rsidRPr="006D0815">
        <w:rPr>
          <w:rFonts w:cs="Open Sans"/>
        </w:rPr>
        <w:t xml:space="preserve">, investiční specialista společnosti </w:t>
      </w:r>
      <w:proofErr w:type="spellStart"/>
      <w:r w:rsidRPr="006D0815">
        <w:rPr>
          <w:rFonts w:cs="Open Sans"/>
        </w:rPr>
        <w:t>FinGO</w:t>
      </w:r>
      <w:proofErr w:type="spellEnd"/>
      <w:r w:rsidRPr="006D0815">
        <w:rPr>
          <w:rFonts w:cs="Open Sans"/>
        </w:rPr>
        <w:t>.</w:t>
      </w:r>
    </w:p>
    <w:p w14:paraId="7ED1128F" w14:textId="77777777" w:rsidR="006D0815" w:rsidRPr="006D0815" w:rsidRDefault="006D0815" w:rsidP="006D0815">
      <w:pPr>
        <w:rPr>
          <w:rFonts w:cs="Open Sans"/>
          <w:b/>
          <w:bCs/>
        </w:rPr>
      </w:pPr>
      <w:r w:rsidRPr="006D0815">
        <w:rPr>
          <w:rFonts w:cs="Open Sans"/>
          <w:b/>
          <w:bCs/>
        </w:rPr>
        <w:t>Drobní investoři ustupují, instituce posilují</w:t>
      </w:r>
    </w:p>
    <w:p w14:paraId="35C1F049" w14:textId="77777777" w:rsidR="006D0815" w:rsidRPr="006D0815" w:rsidRDefault="006D0815" w:rsidP="006D0815">
      <w:pPr>
        <w:rPr>
          <w:rFonts w:cs="Open Sans"/>
        </w:rPr>
      </w:pPr>
      <w:r w:rsidRPr="006D0815">
        <w:rPr>
          <w:rFonts w:cs="Open Sans"/>
        </w:rPr>
        <w:t xml:space="preserve">Jedním z nejvýraznějších trendů roku 2025 byl odliv drobných investorů. Spekulativní kapitál se přesunul zejména do technologických firem a projektů spojených s umělou inteligencí. Naopak posílily instituce, které využívaly například ETF umožňující investovat do Bitcoinu bez přímého vlastnictví kryptoměny. Banky a správci aktiv začaly kryptoměny nabízet jako doplňkovou třídu aktiv, čímž se trh více začlenil do tradičního finančního systému. </w:t>
      </w:r>
    </w:p>
    <w:p w14:paraId="6C2BEF91" w14:textId="1E1E57BE" w:rsidR="006D0815" w:rsidRPr="006D0815" w:rsidRDefault="006D0815" w:rsidP="006D0815">
      <w:pPr>
        <w:rPr>
          <w:rFonts w:cs="Open Sans"/>
        </w:rPr>
      </w:pPr>
      <w:r w:rsidRPr="006D0815">
        <w:rPr>
          <w:rFonts w:cs="Open Sans"/>
          <w:i/>
          <w:iCs/>
        </w:rPr>
        <w:lastRenderedPageBreak/>
        <w:t>„</w:t>
      </w:r>
      <w:r w:rsidR="00D06CC6" w:rsidRPr="00D06CC6">
        <w:rPr>
          <w:rFonts w:cs="Open Sans"/>
          <w:i/>
          <w:iCs/>
        </w:rPr>
        <w:t>Vidíme posun od spekulativního retailového trhu k institucionálnímu prostředí. S rostoucí rolí institucí se snižují extrémní cenové výkyvy, což přispívá k větší stabilitě a důvěryhodnosti kryptoměn jako investičního nástroje</w:t>
      </w:r>
      <w:r w:rsidRPr="006D0815">
        <w:rPr>
          <w:rFonts w:cs="Open Sans"/>
          <w:i/>
          <w:iCs/>
        </w:rPr>
        <w:t>,“</w:t>
      </w:r>
      <w:r w:rsidRPr="006D0815">
        <w:rPr>
          <w:rFonts w:cs="Open Sans"/>
        </w:rPr>
        <w:t xml:space="preserve"> doplňuje </w:t>
      </w:r>
      <w:r w:rsidR="00B22D06">
        <w:rPr>
          <w:rFonts w:cs="Open Sans"/>
        </w:rPr>
        <w:t xml:space="preserve">David </w:t>
      </w:r>
      <w:proofErr w:type="spellStart"/>
      <w:r w:rsidRPr="006D0815">
        <w:rPr>
          <w:rFonts w:cs="Open Sans"/>
        </w:rPr>
        <w:t>Pacoň</w:t>
      </w:r>
      <w:proofErr w:type="spellEnd"/>
      <w:r w:rsidRPr="006D0815">
        <w:rPr>
          <w:rFonts w:cs="Open Sans"/>
        </w:rPr>
        <w:t>.</w:t>
      </w:r>
    </w:p>
    <w:p w14:paraId="6C927FB7" w14:textId="77777777" w:rsidR="006D0815" w:rsidRPr="006D0815" w:rsidRDefault="006D0815" w:rsidP="006D0815">
      <w:pPr>
        <w:rPr>
          <w:rFonts w:cs="Open Sans"/>
          <w:b/>
          <w:bCs/>
        </w:rPr>
      </w:pPr>
      <w:r w:rsidRPr="006D0815">
        <w:rPr>
          <w:rFonts w:cs="Open Sans"/>
          <w:b/>
          <w:bCs/>
        </w:rPr>
        <w:t xml:space="preserve">Regulace </w:t>
      </w:r>
      <w:proofErr w:type="spellStart"/>
      <w:r w:rsidRPr="006D0815">
        <w:rPr>
          <w:rFonts w:cs="Open Sans"/>
          <w:b/>
          <w:bCs/>
        </w:rPr>
        <w:t>MiCA</w:t>
      </w:r>
      <w:proofErr w:type="spellEnd"/>
      <w:r w:rsidRPr="006D0815">
        <w:rPr>
          <w:rFonts w:cs="Open Sans"/>
          <w:b/>
          <w:bCs/>
        </w:rPr>
        <w:t xml:space="preserve"> mění evropský </w:t>
      </w:r>
      <w:proofErr w:type="spellStart"/>
      <w:r w:rsidRPr="006D0815">
        <w:rPr>
          <w:rFonts w:cs="Open Sans"/>
          <w:b/>
          <w:bCs/>
        </w:rPr>
        <w:t>kryptotrh</w:t>
      </w:r>
      <w:proofErr w:type="spellEnd"/>
    </w:p>
    <w:p w14:paraId="4B3A7B01" w14:textId="77777777" w:rsidR="006D0815" w:rsidRPr="006D0815" w:rsidRDefault="006D0815" w:rsidP="006D0815">
      <w:pPr>
        <w:rPr>
          <w:rFonts w:cs="Open Sans"/>
        </w:rPr>
      </w:pPr>
      <w:r w:rsidRPr="006D0815">
        <w:rPr>
          <w:rFonts w:cs="Open Sans"/>
        </w:rPr>
        <w:t xml:space="preserve">Zásadním milníkem roku 2025 bylo plné zavedení evropské regulace </w:t>
      </w:r>
      <w:proofErr w:type="spellStart"/>
      <w:r w:rsidRPr="006D0815">
        <w:rPr>
          <w:rFonts w:cs="Open Sans"/>
        </w:rPr>
        <w:t>MiCA</w:t>
      </w:r>
      <w:proofErr w:type="spellEnd"/>
      <w:r w:rsidRPr="006D0815">
        <w:rPr>
          <w:rFonts w:cs="Open Sans"/>
        </w:rPr>
        <w:t xml:space="preserve"> (</w:t>
      </w:r>
      <w:proofErr w:type="spellStart"/>
      <w:r w:rsidRPr="006D0815">
        <w:rPr>
          <w:rFonts w:cs="Open Sans"/>
        </w:rPr>
        <w:t>Markets</w:t>
      </w:r>
      <w:proofErr w:type="spellEnd"/>
      <w:r w:rsidRPr="006D0815">
        <w:rPr>
          <w:rFonts w:cs="Open Sans"/>
        </w:rPr>
        <w:t xml:space="preserve"> in </w:t>
      </w:r>
      <w:proofErr w:type="spellStart"/>
      <w:r w:rsidRPr="006D0815">
        <w:rPr>
          <w:rFonts w:cs="Open Sans"/>
        </w:rPr>
        <w:t>Crypto-Assets</w:t>
      </w:r>
      <w:proofErr w:type="spellEnd"/>
      <w:r w:rsidRPr="006D0815">
        <w:rPr>
          <w:rFonts w:cs="Open Sans"/>
        </w:rPr>
        <w:t xml:space="preserve">), která vytvořila jednotná pravidla pro vydávání a obchodování s </w:t>
      </w:r>
      <w:proofErr w:type="spellStart"/>
      <w:r w:rsidRPr="006D0815">
        <w:rPr>
          <w:rFonts w:cs="Open Sans"/>
        </w:rPr>
        <w:t>kryptoaktivy</w:t>
      </w:r>
      <w:proofErr w:type="spellEnd"/>
      <w:r w:rsidRPr="006D0815">
        <w:rPr>
          <w:rFonts w:cs="Open Sans"/>
        </w:rPr>
        <w:t xml:space="preserve">. Regulace zavádí licencování poskytovatelů </w:t>
      </w:r>
      <w:proofErr w:type="spellStart"/>
      <w:r w:rsidRPr="006D0815">
        <w:rPr>
          <w:rFonts w:cs="Open Sans"/>
        </w:rPr>
        <w:t>kryptoslužeb</w:t>
      </w:r>
      <w:proofErr w:type="spellEnd"/>
      <w:r w:rsidRPr="006D0815">
        <w:rPr>
          <w:rFonts w:cs="Open Sans"/>
        </w:rPr>
        <w:t xml:space="preserve">, pravidla pro </w:t>
      </w:r>
      <w:proofErr w:type="spellStart"/>
      <w:r w:rsidRPr="006D0815">
        <w:rPr>
          <w:rFonts w:cs="Open Sans"/>
        </w:rPr>
        <w:t>stablecoiny</w:t>
      </w:r>
      <w:proofErr w:type="spellEnd"/>
      <w:r w:rsidRPr="006D0815">
        <w:rPr>
          <w:rFonts w:cs="Open Sans"/>
        </w:rPr>
        <w:t xml:space="preserve"> i povinnost transparentně informovat o rizicích. Díky tzv. </w:t>
      </w:r>
      <w:proofErr w:type="spellStart"/>
      <w:r w:rsidRPr="006D0815">
        <w:rPr>
          <w:rFonts w:cs="Open Sans"/>
        </w:rPr>
        <w:t>passportingu</w:t>
      </w:r>
      <w:proofErr w:type="spellEnd"/>
      <w:r w:rsidRPr="006D0815">
        <w:rPr>
          <w:rFonts w:cs="Open Sans"/>
        </w:rPr>
        <w:t xml:space="preserve"> mohou firmy s jednou licencí působit napříč EU. </w:t>
      </w:r>
    </w:p>
    <w:p w14:paraId="1D8DA204" w14:textId="77777777" w:rsidR="006D0815" w:rsidRPr="006D0815" w:rsidRDefault="006D0815" w:rsidP="006D0815">
      <w:pPr>
        <w:rPr>
          <w:rFonts w:cs="Open Sans"/>
        </w:rPr>
      </w:pPr>
      <w:r w:rsidRPr="006D0815">
        <w:rPr>
          <w:rFonts w:cs="Open Sans"/>
        </w:rPr>
        <w:t xml:space="preserve">Regulace znamenala konec „divokého západu“ kryptoměn v Evropě. Menší subjekty trh opustily, zatímco silnější hráči získali větší důvěru investorů. V České republice se dohledovým orgánem stala Česká národní banka. </w:t>
      </w:r>
    </w:p>
    <w:p w14:paraId="5D8D4653" w14:textId="77777777" w:rsidR="006D0815" w:rsidRPr="006D0815" w:rsidRDefault="006D0815" w:rsidP="006D0815">
      <w:pPr>
        <w:rPr>
          <w:rFonts w:cs="Open Sans"/>
          <w:b/>
          <w:bCs/>
        </w:rPr>
      </w:pPr>
      <w:r w:rsidRPr="006D0815">
        <w:rPr>
          <w:rFonts w:cs="Open Sans"/>
          <w:b/>
          <w:bCs/>
        </w:rPr>
        <w:t>Česká národní banka testuje kryptoměny</w:t>
      </w:r>
    </w:p>
    <w:p w14:paraId="0FCFB3F3" w14:textId="77777777" w:rsidR="006D0815" w:rsidRPr="006D0815" w:rsidRDefault="006D0815" w:rsidP="006D0815">
      <w:pPr>
        <w:rPr>
          <w:rFonts w:cs="Open Sans"/>
        </w:rPr>
      </w:pPr>
      <w:r w:rsidRPr="006D0815">
        <w:rPr>
          <w:rFonts w:cs="Open Sans"/>
        </w:rPr>
        <w:t xml:space="preserve">Česká národní banka v roce 2025 zřídila historicky první testovací portfolio digitálních aktiv v hodnotě 1 milion USD, což odpovídá přibližně 0,0006 % jejích celkových aktiv. Portfolio obsahuje Bitcoin, </w:t>
      </w:r>
      <w:proofErr w:type="spellStart"/>
      <w:r w:rsidRPr="006D0815">
        <w:rPr>
          <w:rFonts w:cs="Open Sans"/>
        </w:rPr>
        <w:t>stablecoiny</w:t>
      </w:r>
      <w:proofErr w:type="spellEnd"/>
      <w:r w:rsidRPr="006D0815">
        <w:rPr>
          <w:rFonts w:cs="Open Sans"/>
        </w:rPr>
        <w:t xml:space="preserve"> i </w:t>
      </w:r>
      <w:proofErr w:type="spellStart"/>
      <w:r w:rsidRPr="006D0815">
        <w:rPr>
          <w:rFonts w:cs="Open Sans"/>
        </w:rPr>
        <w:t>tokenizované</w:t>
      </w:r>
      <w:proofErr w:type="spellEnd"/>
      <w:r w:rsidRPr="006D0815">
        <w:rPr>
          <w:rFonts w:cs="Open Sans"/>
        </w:rPr>
        <w:t xml:space="preserve"> dolarové depozitum. Projekt bude vyhodnocován během 2–3 let a objem portfolia se zatím nebude navyšovat. </w:t>
      </w:r>
    </w:p>
    <w:p w14:paraId="2E3723EE" w14:textId="5D897C15" w:rsidR="006D0815" w:rsidRPr="006D0815" w:rsidRDefault="006D0815" w:rsidP="006D0815">
      <w:pPr>
        <w:rPr>
          <w:rFonts w:cs="Open Sans"/>
        </w:rPr>
      </w:pPr>
      <w:r w:rsidRPr="006D0815">
        <w:rPr>
          <w:rFonts w:cs="Open Sans"/>
          <w:i/>
          <w:iCs/>
        </w:rPr>
        <w:t>„Zapojení centrální banky je symbolickým, ale důležitým krokem. Ukazuje, že kryptoměny se postupně stávají součástí mainstreamového finančního systému, i když zatím pouze v</w:t>
      </w:r>
      <w:r w:rsidR="00BC1615">
        <w:rPr>
          <w:rFonts w:cs="Open Sans"/>
          <w:i/>
          <w:iCs/>
        </w:rPr>
        <w:t> </w:t>
      </w:r>
      <w:r w:rsidRPr="006D0815">
        <w:rPr>
          <w:rFonts w:cs="Open Sans"/>
          <w:i/>
          <w:iCs/>
        </w:rPr>
        <w:t>testovacím režimu,“</w:t>
      </w:r>
      <w:r w:rsidRPr="006D0815">
        <w:rPr>
          <w:rFonts w:cs="Open Sans"/>
        </w:rPr>
        <w:t xml:space="preserve"> uvádí </w:t>
      </w:r>
      <w:r w:rsidR="001D072D">
        <w:rPr>
          <w:rFonts w:cs="Open Sans"/>
        </w:rPr>
        <w:t xml:space="preserve">David </w:t>
      </w:r>
      <w:proofErr w:type="spellStart"/>
      <w:r w:rsidRPr="006D0815">
        <w:rPr>
          <w:rFonts w:cs="Open Sans"/>
        </w:rPr>
        <w:t>Pacoň</w:t>
      </w:r>
      <w:proofErr w:type="spellEnd"/>
      <w:r w:rsidRPr="006D0815">
        <w:rPr>
          <w:rFonts w:cs="Open Sans"/>
        </w:rPr>
        <w:t>.</w:t>
      </w:r>
    </w:p>
    <w:p w14:paraId="146A3336" w14:textId="77777777" w:rsidR="006D0815" w:rsidRPr="006D0815" w:rsidRDefault="006D0815" w:rsidP="006D0815">
      <w:pPr>
        <w:rPr>
          <w:rFonts w:cs="Open Sans"/>
          <w:b/>
          <w:bCs/>
        </w:rPr>
      </w:pPr>
      <w:r w:rsidRPr="006D0815">
        <w:rPr>
          <w:rFonts w:cs="Open Sans"/>
          <w:b/>
          <w:bCs/>
        </w:rPr>
        <w:t>Akcie a drahé kovy kryptoměny překonaly</w:t>
      </w:r>
    </w:p>
    <w:p w14:paraId="493B589D" w14:textId="77777777" w:rsidR="006D0815" w:rsidRPr="006D0815" w:rsidRDefault="006D0815" w:rsidP="006D0815">
      <w:pPr>
        <w:rPr>
          <w:rFonts w:cs="Open Sans"/>
        </w:rPr>
      </w:pPr>
      <w:r w:rsidRPr="006D0815">
        <w:rPr>
          <w:rFonts w:cs="Open Sans"/>
        </w:rPr>
        <w:t xml:space="preserve">Zatímco kryptoměny ztrácely, ostatním třídám aktiv se dařilo. Index S&amp;P 500 vzrostl přibližně o 17 % a </w:t>
      </w:r>
      <w:proofErr w:type="spellStart"/>
      <w:r w:rsidRPr="006D0815">
        <w:rPr>
          <w:rFonts w:cs="Open Sans"/>
        </w:rPr>
        <w:t>Nasdaq</w:t>
      </w:r>
      <w:proofErr w:type="spellEnd"/>
      <w:r w:rsidRPr="006D0815">
        <w:rPr>
          <w:rFonts w:cs="Open Sans"/>
        </w:rPr>
        <w:t xml:space="preserve"> </w:t>
      </w:r>
      <w:proofErr w:type="spellStart"/>
      <w:r w:rsidRPr="006D0815">
        <w:rPr>
          <w:rFonts w:cs="Open Sans"/>
        </w:rPr>
        <w:t>Composite</w:t>
      </w:r>
      <w:proofErr w:type="spellEnd"/>
      <w:r w:rsidRPr="006D0815">
        <w:rPr>
          <w:rFonts w:cs="Open Sans"/>
        </w:rPr>
        <w:t xml:space="preserve"> zhruba o 20 %. Tuzemští investoři však část výnosu ztratili kvůli posílení koruny vůči dolaru o přibližně 15 %. </w:t>
      </w:r>
    </w:p>
    <w:p w14:paraId="04C34925" w14:textId="77777777" w:rsidR="006D0815" w:rsidRPr="006D0815" w:rsidRDefault="006D0815" w:rsidP="006D0815">
      <w:pPr>
        <w:rPr>
          <w:rFonts w:cs="Open Sans"/>
        </w:rPr>
      </w:pPr>
      <w:r w:rsidRPr="006D0815">
        <w:rPr>
          <w:rFonts w:cs="Open Sans"/>
        </w:rPr>
        <w:t xml:space="preserve">Mezi absolutní vítěze roku patřily drahé kovy. Zlato vzrostlo přibližně o 65 % a stříbro dokonce o 150 %. Růst byl tažen geopolitickým napětím, rostoucím zadlužením států a obavami z nečekaných ekonomických šoků. </w:t>
      </w:r>
    </w:p>
    <w:p w14:paraId="52D9B634" w14:textId="77777777" w:rsidR="006D0815" w:rsidRPr="006D0815" w:rsidRDefault="006D0815" w:rsidP="006D0815">
      <w:pPr>
        <w:rPr>
          <w:rFonts w:cs="Open Sans"/>
        </w:rPr>
      </w:pPr>
      <w:r w:rsidRPr="006D0815">
        <w:rPr>
          <w:rFonts w:cs="Open Sans"/>
        </w:rPr>
        <w:t xml:space="preserve">Výrazně se dařilo také domácímu trhu. Index PX pražské burzy vzrostl o 53 % a objem obchodů dosáhl nejvyšší úrovně za posledních 13 let, především díky bankovním a energetickým titulům. </w:t>
      </w:r>
    </w:p>
    <w:p w14:paraId="052FD7B7" w14:textId="77777777" w:rsidR="006D0815" w:rsidRPr="00FB1680" w:rsidRDefault="006D0815" w:rsidP="006D0815">
      <w:pPr>
        <w:rPr>
          <w:rFonts w:cs="Open Sans"/>
          <w:b/>
          <w:bCs/>
        </w:rPr>
      </w:pPr>
      <w:r w:rsidRPr="00FB1680">
        <w:rPr>
          <w:rFonts w:cs="Open Sans"/>
          <w:b/>
          <w:bCs/>
        </w:rPr>
        <w:t>Výhled pro rok 2026: stabilizace a větší role diverzifikace</w:t>
      </w:r>
    </w:p>
    <w:p w14:paraId="17732D66" w14:textId="77777777" w:rsidR="006D0815" w:rsidRPr="00FB1680" w:rsidRDefault="006D0815" w:rsidP="006D0815">
      <w:pPr>
        <w:rPr>
          <w:rFonts w:cs="Open Sans"/>
        </w:rPr>
      </w:pPr>
      <w:r w:rsidRPr="00FB1680">
        <w:rPr>
          <w:rFonts w:cs="Open Sans"/>
        </w:rPr>
        <w:t xml:space="preserve">Rok 2025 přinesl nenaplněná očekávání z hlediska výnosnosti, ale zároveň významnou proměnu struktury trhu. Drobní investoři se částečně přesunuli k technologickým akciím, zatímco instituce posílily. Regulace </w:t>
      </w:r>
      <w:proofErr w:type="spellStart"/>
      <w:r w:rsidRPr="00FB1680">
        <w:rPr>
          <w:rFonts w:cs="Open Sans"/>
        </w:rPr>
        <w:t>MiCA</w:t>
      </w:r>
      <w:proofErr w:type="spellEnd"/>
      <w:r w:rsidRPr="00FB1680">
        <w:rPr>
          <w:rFonts w:cs="Open Sans"/>
        </w:rPr>
        <w:t xml:space="preserve"> zvýšila bezpečnost a transparentnost a testovací portfolio ČNB potvrzuje posun kryptoměn směrem k hlavnímu finančnímu proudu. </w:t>
      </w:r>
    </w:p>
    <w:p w14:paraId="38A15216" w14:textId="77777777" w:rsidR="006D0815" w:rsidRPr="006D0815" w:rsidRDefault="006D0815" w:rsidP="006D0815">
      <w:pPr>
        <w:rPr>
          <w:rFonts w:cs="Open Sans"/>
        </w:rPr>
      </w:pPr>
      <w:r w:rsidRPr="00FB1680">
        <w:rPr>
          <w:rFonts w:cs="Open Sans"/>
          <w:i/>
          <w:iCs/>
        </w:rPr>
        <w:lastRenderedPageBreak/>
        <w:t>„Pro rok 2026 očekáváme pokračující stabilizaci. Kryptoměny se postupně stávají standardní součástí investičního světa a Bitcoin bude čím dál více sloužit jako nástroj diverzifikace portfolia, nikoli pouze jako spekulativní aktivum,“</w:t>
      </w:r>
      <w:r w:rsidRPr="00FB1680">
        <w:rPr>
          <w:rFonts w:cs="Open Sans"/>
        </w:rPr>
        <w:t xml:space="preserve"> uzavírá </w:t>
      </w:r>
      <w:proofErr w:type="spellStart"/>
      <w:r w:rsidRPr="00FB1680">
        <w:rPr>
          <w:rFonts w:cs="Open Sans"/>
        </w:rPr>
        <w:t>Pacoň</w:t>
      </w:r>
      <w:proofErr w:type="spellEnd"/>
      <w:r w:rsidRPr="00FB1680">
        <w:rPr>
          <w:rFonts w:cs="Open Sans"/>
        </w:rPr>
        <w:t>.</w:t>
      </w:r>
    </w:p>
    <w:p w14:paraId="330131FC" w14:textId="77777777" w:rsidR="006D0815" w:rsidRPr="00B806BB" w:rsidRDefault="006D0815" w:rsidP="00B806BB">
      <w:pPr>
        <w:rPr>
          <w:rFonts w:cs="Open Sans"/>
        </w:rPr>
      </w:pPr>
    </w:p>
    <w:p w14:paraId="57CEC546" w14:textId="52DB2D85" w:rsidR="00712072" w:rsidRPr="002029CF" w:rsidRDefault="00712072" w:rsidP="00C00401">
      <w:pPr>
        <w:rPr>
          <w:rFonts w:cs="Open Sans"/>
        </w:rPr>
      </w:pPr>
      <w:r w:rsidRPr="007622A0">
        <w:rPr>
          <w:rFonts w:cs="Open Sans"/>
          <w:b/>
          <w:bCs/>
          <w:i/>
          <w:iCs/>
          <w:sz w:val="20"/>
          <w:szCs w:val="20"/>
        </w:rPr>
        <w:t xml:space="preserve">O společnosti </w:t>
      </w:r>
      <w:proofErr w:type="spellStart"/>
      <w:r w:rsidRPr="007622A0">
        <w:rPr>
          <w:rFonts w:cs="Open Sans"/>
          <w:b/>
          <w:bCs/>
          <w:i/>
          <w:iCs/>
          <w:sz w:val="20"/>
          <w:szCs w:val="20"/>
        </w:rPr>
        <w:t>FinGO</w:t>
      </w:r>
      <w:proofErr w:type="spellEnd"/>
      <w:r w:rsidRPr="007622A0">
        <w:rPr>
          <w:rFonts w:cs="Open Sans"/>
          <w:b/>
          <w:bCs/>
          <w:i/>
          <w:iCs/>
          <w:sz w:val="20"/>
          <w:szCs w:val="20"/>
        </w:rPr>
        <w:t>:</w:t>
      </w:r>
    </w:p>
    <w:p w14:paraId="3272E8CB" w14:textId="4984029D" w:rsidR="009C1B95" w:rsidRDefault="00712072" w:rsidP="00C00401">
      <w:pPr>
        <w:rPr>
          <w:rFonts w:cs="Open Sans"/>
          <w:i/>
          <w:iCs/>
          <w:sz w:val="20"/>
          <w:szCs w:val="20"/>
        </w:rPr>
      </w:pPr>
      <w:r w:rsidRPr="0085622D">
        <w:rPr>
          <w:rFonts w:cs="Open Sans"/>
          <w:i/>
          <w:iCs/>
          <w:sz w:val="20"/>
          <w:szCs w:val="20"/>
        </w:rPr>
        <w:t xml:space="preserve">Digitální finančně-poradenská společnost FinGO.cz začala v České republice působit v roce 2021 s cílem přinést makléřům i klientům pohodlí, férovost a díky digitálním technologiím také příležitost, jak oslovit nové klienty. V současnosti má společnost přes </w:t>
      </w:r>
      <w:r w:rsidR="003C1A63">
        <w:rPr>
          <w:rFonts w:cs="Open Sans"/>
          <w:i/>
          <w:iCs/>
          <w:sz w:val="20"/>
          <w:szCs w:val="20"/>
        </w:rPr>
        <w:t>6</w:t>
      </w:r>
      <w:r w:rsidR="00ED044F">
        <w:rPr>
          <w:rFonts w:cs="Open Sans"/>
          <w:i/>
          <w:iCs/>
          <w:sz w:val="20"/>
          <w:szCs w:val="20"/>
        </w:rPr>
        <w:t>5</w:t>
      </w:r>
      <w:r w:rsidRPr="0085622D">
        <w:rPr>
          <w:rFonts w:cs="Open Sans"/>
          <w:i/>
          <w:iCs/>
          <w:sz w:val="20"/>
          <w:szCs w:val="20"/>
        </w:rPr>
        <w:t>0 vázaných zástupců, kteří působí po celé České republice. V roce 2022 patřila k nejrychleji rostoucím makléřským společnostem, přičemž v oblasti úvěrů rostla nejrychleji ze všech. Významný podíl produkce FinGO.cz pochází z online příležitostí, které společnost sama vytváří pro své vázané zástupce.</w:t>
      </w:r>
    </w:p>
    <w:p w14:paraId="6FEFC148" w14:textId="52B26EB2" w:rsidR="0096059C" w:rsidRDefault="00640C88" w:rsidP="00C00401">
      <w:pPr>
        <w:rPr>
          <w:rFonts w:cs="Open Sans"/>
          <w:i/>
          <w:iCs/>
          <w:sz w:val="20"/>
          <w:szCs w:val="20"/>
        </w:rPr>
      </w:pPr>
      <w:r w:rsidRPr="0085622D">
        <w:rPr>
          <w:rFonts w:cs="Open Sans"/>
          <w:noProof/>
        </w:rPr>
        <w:drawing>
          <wp:anchor distT="0" distB="0" distL="114300" distR="114300" simplePos="0" relativeHeight="251665408" behindDoc="0" locked="0" layoutInCell="1" allowOverlap="1" wp14:anchorId="5942909A" wp14:editId="541BB038">
            <wp:simplePos x="0" y="0"/>
            <wp:positionH relativeFrom="margin">
              <wp:posOffset>5693410</wp:posOffset>
            </wp:positionH>
            <wp:positionV relativeFrom="paragraph">
              <wp:posOffset>1660525</wp:posOffset>
            </wp:positionV>
            <wp:extent cx="572135" cy="431800"/>
            <wp:effectExtent l="0" t="0" r="0" b="6350"/>
            <wp:wrapSquare wrapText="bothSides"/>
            <wp:docPr id="1430303569" name="Obrázek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303569" name="Obrázek 4">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57213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3360" behindDoc="0" locked="0" layoutInCell="1" allowOverlap="1" wp14:anchorId="53045D19" wp14:editId="2E564BD3">
            <wp:simplePos x="0" y="0"/>
            <wp:positionH relativeFrom="column">
              <wp:posOffset>5053330</wp:posOffset>
            </wp:positionH>
            <wp:positionV relativeFrom="paragraph">
              <wp:posOffset>1660525</wp:posOffset>
            </wp:positionV>
            <wp:extent cx="467995" cy="431800"/>
            <wp:effectExtent l="0" t="0" r="8255" b="6350"/>
            <wp:wrapSquare wrapText="bothSides"/>
            <wp:docPr id="415049230" name="Obrázek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49230" name="Obrázek 5">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46799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1312" behindDoc="0" locked="0" layoutInCell="1" allowOverlap="1" wp14:anchorId="334490BB" wp14:editId="29A2D813">
            <wp:simplePos x="0" y="0"/>
            <wp:positionH relativeFrom="margin">
              <wp:posOffset>4265930</wp:posOffset>
            </wp:positionH>
            <wp:positionV relativeFrom="paragraph">
              <wp:posOffset>1655445</wp:posOffset>
            </wp:positionV>
            <wp:extent cx="845820" cy="431800"/>
            <wp:effectExtent l="0" t="0" r="0" b="6350"/>
            <wp:wrapSquare wrapText="bothSides"/>
            <wp:docPr id="1399757103" name="Obrázek 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57103" name="Obrázek 6">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845820"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59264" behindDoc="0" locked="0" layoutInCell="1" allowOverlap="1" wp14:anchorId="5BD6DE5E" wp14:editId="24EA21E6">
            <wp:simplePos x="0" y="0"/>
            <wp:positionH relativeFrom="margin">
              <wp:posOffset>3815080</wp:posOffset>
            </wp:positionH>
            <wp:positionV relativeFrom="paragraph">
              <wp:posOffset>1655445</wp:posOffset>
            </wp:positionV>
            <wp:extent cx="460375" cy="431800"/>
            <wp:effectExtent l="0" t="0" r="0" b="6350"/>
            <wp:wrapSquare wrapText="bothSides"/>
            <wp:docPr id="2096601148" name="Obrázek 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01148" name="Obrázek 7">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460375" cy="431800"/>
                    </a:xfrm>
                    <a:prstGeom prst="rect">
                      <a:avLst/>
                    </a:prstGeom>
                  </pic:spPr>
                </pic:pic>
              </a:graphicData>
            </a:graphic>
            <wp14:sizeRelH relativeFrom="margin">
              <wp14:pctWidth>0</wp14:pctWidth>
            </wp14:sizeRelH>
            <wp14:sizeRelV relativeFrom="margin">
              <wp14:pctHeight>0</wp14:pctHeight>
            </wp14:sizeRelV>
          </wp:anchor>
        </w:drawing>
      </w:r>
      <w:r w:rsidR="00712072" w:rsidRPr="0085622D">
        <w:rPr>
          <w:rFonts w:cs="Open Sans"/>
          <w:i/>
          <w:iCs/>
          <w:sz w:val="20"/>
          <w:szCs w:val="20"/>
        </w:rPr>
        <w:t xml:space="preserve">Společnost </w:t>
      </w:r>
      <w:proofErr w:type="spellStart"/>
      <w:r w:rsidR="00712072" w:rsidRPr="0085622D">
        <w:rPr>
          <w:rFonts w:cs="Open Sans"/>
          <w:i/>
          <w:iCs/>
          <w:sz w:val="20"/>
          <w:szCs w:val="20"/>
        </w:rPr>
        <w:t>FinGO</w:t>
      </w:r>
      <w:proofErr w:type="spellEnd"/>
      <w:r w:rsidR="00712072" w:rsidRPr="0085622D">
        <w:rPr>
          <w:rFonts w:cs="Open Sans"/>
          <w:i/>
          <w:iCs/>
          <w:sz w:val="20"/>
          <w:szCs w:val="20"/>
        </w:rPr>
        <w:t xml:space="preserve"> je součástí lokální investiční skupiny </w:t>
      </w:r>
      <w:proofErr w:type="spellStart"/>
      <w:r w:rsidR="00712072" w:rsidRPr="0085622D">
        <w:rPr>
          <w:rFonts w:cs="Open Sans"/>
          <w:i/>
          <w:iCs/>
          <w:sz w:val="20"/>
          <w:szCs w:val="20"/>
        </w:rPr>
        <w:t>InTeFi</w:t>
      </w:r>
      <w:proofErr w:type="spellEnd"/>
      <w:r w:rsidR="00712072" w:rsidRPr="0085622D">
        <w:rPr>
          <w:rFonts w:cs="Open Sans"/>
          <w:i/>
          <w:iCs/>
          <w:sz w:val="20"/>
          <w:szCs w:val="20"/>
        </w:rPr>
        <w:t xml:space="preserve"> </w:t>
      </w:r>
      <w:proofErr w:type="spellStart"/>
      <w:r w:rsidR="00712072" w:rsidRPr="0085622D">
        <w:rPr>
          <w:rFonts w:cs="Open Sans"/>
          <w:i/>
          <w:iCs/>
          <w:sz w:val="20"/>
          <w:szCs w:val="20"/>
        </w:rPr>
        <w:t>Capital</w:t>
      </w:r>
      <w:proofErr w:type="spellEnd"/>
      <w:r w:rsidR="00712072" w:rsidRPr="0085622D">
        <w:rPr>
          <w:rFonts w:cs="Open Sans"/>
          <w:i/>
          <w:iCs/>
          <w:sz w:val="20"/>
          <w:szCs w:val="20"/>
        </w:rPr>
        <w:t xml:space="preserve"> podnikatele a investora Lukáše Nováka. Skupina vlastní a řídí české a slovenské společnosti z oblastí informačních technologií, financí, a </w:t>
      </w:r>
      <w:proofErr w:type="spellStart"/>
      <w:r w:rsidR="00712072" w:rsidRPr="0085622D">
        <w:rPr>
          <w:rFonts w:cs="Open Sans"/>
          <w:i/>
          <w:iCs/>
          <w:sz w:val="20"/>
          <w:szCs w:val="20"/>
        </w:rPr>
        <w:t>real</w:t>
      </w:r>
      <w:proofErr w:type="spellEnd"/>
      <w:r w:rsidR="00712072" w:rsidRPr="0085622D">
        <w:rPr>
          <w:rFonts w:cs="Open Sans"/>
          <w:i/>
          <w:iCs/>
          <w:sz w:val="20"/>
          <w:szCs w:val="20"/>
        </w:rPr>
        <w:t xml:space="preserve"> </w:t>
      </w:r>
      <w:proofErr w:type="spellStart"/>
      <w:r w:rsidR="00712072" w:rsidRPr="0085622D">
        <w:rPr>
          <w:rFonts w:cs="Open Sans"/>
          <w:i/>
          <w:iCs/>
          <w:sz w:val="20"/>
          <w:szCs w:val="20"/>
        </w:rPr>
        <w:t>estate</w:t>
      </w:r>
      <w:proofErr w:type="spellEnd"/>
      <w:r w:rsidR="00712072" w:rsidRPr="0085622D">
        <w:rPr>
          <w:rFonts w:cs="Open Sans"/>
          <w:i/>
          <w:iCs/>
          <w:sz w:val="20"/>
          <w:szCs w:val="20"/>
        </w:rPr>
        <w:t xml:space="preserve"> developmentu. Podíl vlastní například v technologické skupině </w:t>
      </w:r>
      <w:proofErr w:type="spellStart"/>
      <w:r w:rsidR="00712072" w:rsidRPr="0085622D">
        <w:rPr>
          <w:rFonts w:cs="Open Sans"/>
          <w:i/>
          <w:iCs/>
          <w:sz w:val="20"/>
          <w:szCs w:val="20"/>
        </w:rPr>
        <w:t>BiQ</w:t>
      </w:r>
      <w:proofErr w:type="spellEnd"/>
      <w:r w:rsidR="00712072" w:rsidRPr="0085622D">
        <w:rPr>
          <w:rFonts w:cs="Open Sans"/>
          <w:i/>
          <w:iCs/>
          <w:sz w:val="20"/>
          <w:szCs w:val="20"/>
        </w:rPr>
        <w:t xml:space="preserve"> Group, která vytváří komplexní a udržitelné IT projekty s budoucností. </w:t>
      </w:r>
      <w:r w:rsidR="00633408">
        <w:rPr>
          <w:rFonts w:cs="Open Sans"/>
          <w:i/>
          <w:iCs/>
          <w:sz w:val="20"/>
          <w:szCs w:val="20"/>
        </w:rPr>
        <w:t>Sesterská s</w:t>
      </w:r>
      <w:r w:rsidR="00712072" w:rsidRPr="0085622D">
        <w:rPr>
          <w:rFonts w:cs="Open Sans"/>
          <w:i/>
          <w:iCs/>
          <w:sz w:val="20"/>
          <w:szCs w:val="20"/>
        </w:rPr>
        <w:t xml:space="preserve">polečnost FinGO.sk byla založena </w:t>
      </w:r>
      <w:r w:rsidR="00F454AD">
        <w:rPr>
          <w:rFonts w:cs="Open Sans"/>
          <w:i/>
          <w:iCs/>
          <w:sz w:val="20"/>
          <w:szCs w:val="20"/>
        </w:rPr>
        <w:t>v roce 2017</w:t>
      </w:r>
      <w:r w:rsidR="00712072" w:rsidRPr="0085622D">
        <w:rPr>
          <w:rFonts w:cs="Open Sans"/>
          <w:i/>
          <w:iCs/>
          <w:sz w:val="20"/>
          <w:szCs w:val="20"/>
        </w:rPr>
        <w:t xml:space="preserve"> a stala se jednou z nejrychleji rostoucích společností ve svém oboru na Slovensku. Více než 1</w:t>
      </w:r>
      <w:r w:rsidR="004B7096">
        <w:rPr>
          <w:rFonts w:cs="Open Sans"/>
          <w:i/>
          <w:iCs/>
          <w:sz w:val="20"/>
          <w:szCs w:val="20"/>
        </w:rPr>
        <w:t xml:space="preserve"> 0</w:t>
      </w:r>
      <w:r w:rsidR="00712072" w:rsidRPr="0085622D">
        <w:rPr>
          <w:rFonts w:cs="Open Sans"/>
          <w:i/>
          <w:iCs/>
          <w:sz w:val="20"/>
          <w:szCs w:val="20"/>
        </w:rPr>
        <w:t>00 odborníků působí ve všech 79 okresech Slovenska a stará se o téměř 1</w:t>
      </w:r>
      <w:r w:rsidR="00E92752">
        <w:rPr>
          <w:rFonts w:cs="Open Sans"/>
          <w:i/>
          <w:iCs/>
          <w:sz w:val="20"/>
          <w:szCs w:val="20"/>
        </w:rPr>
        <w:t>5</w:t>
      </w:r>
      <w:r w:rsidR="00712072" w:rsidRPr="0085622D">
        <w:rPr>
          <w:rFonts w:cs="Open Sans"/>
          <w:i/>
          <w:iCs/>
          <w:sz w:val="20"/>
          <w:szCs w:val="20"/>
        </w:rPr>
        <w:t>0 000 spokojených klientů.</w:t>
      </w:r>
    </w:p>
    <w:p w14:paraId="46965D77" w14:textId="77777777" w:rsidR="00C60B9C" w:rsidRDefault="00C60B9C" w:rsidP="00C00401">
      <w:pPr>
        <w:rPr>
          <w:rFonts w:cs="Open Sans"/>
          <w:sz w:val="20"/>
          <w:szCs w:val="20"/>
        </w:rPr>
      </w:pPr>
    </w:p>
    <w:p w14:paraId="5404066D" w14:textId="0DE962A9" w:rsidR="00C60B9C" w:rsidRDefault="00C60B9C" w:rsidP="009449C4">
      <w:pPr>
        <w:spacing w:after="0"/>
        <w:rPr>
          <w:rFonts w:cs="Open Sans"/>
          <w:b/>
          <w:bCs/>
        </w:rPr>
      </w:pPr>
      <w:r>
        <w:rPr>
          <w:rFonts w:cs="Open Sans"/>
          <w:b/>
          <w:bCs/>
        </w:rPr>
        <w:t>Kontakt pro média:</w:t>
      </w:r>
    </w:p>
    <w:p w14:paraId="5DD68EF2" w14:textId="68F29F80" w:rsidR="00C60B9C" w:rsidRDefault="00C60B9C" w:rsidP="009449C4">
      <w:pPr>
        <w:spacing w:after="0"/>
        <w:rPr>
          <w:rFonts w:cs="Open Sans"/>
        </w:rPr>
      </w:pPr>
      <w:proofErr w:type="spellStart"/>
      <w:r>
        <w:rPr>
          <w:rFonts w:cs="Open Sans"/>
        </w:rPr>
        <w:t>Crest</w:t>
      </w:r>
      <w:proofErr w:type="spellEnd"/>
      <w:r>
        <w:rPr>
          <w:rFonts w:cs="Open Sans"/>
        </w:rPr>
        <w:t xml:space="preserve"> Communications</w:t>
      </w:r>
    </w:p>
    <w:p w14:paraId="7651C779" w14:textId="7A0646C9" w:rsidR="00C60B9C" w:rsidRDefault="00C60B9C" w:rsidP="009449C4">
      <w:pPr>
        <w:spacing w:after="0"/>
        <w:rPr>
          <w:rFonts w:cs="Open Sans"/>
        </w:rPr>
      </w:pPr>
      <w:r>
        <w:rPr>
          <w:rFonts w:cs="Open Sans"/>
        </w:rPr>
        <w:t>Jakub Knapp</w:t>
      </w:r>
    </w:p>
    <w:p w14:paraId="42F0E8E7" w14:textId="0EE2C3A0" w:rsidR="00C60B9C" w:rsidRDefault="00C60B9C" w:rsidP="009449C4">
      <w:pPr>
        <w:spacing w:after="0"/>
        <w:rPr>
          <w:rFonts w:cs="Open Sans"/>
        </w:rPr>
      </w:pPr>
      <w:hyperlink r:id="rId19" w:history="1">
        <w:r w:rsidRPr="00697EC9">
          <w:rPr>
            <w:rStyle w:val="Hypertextovodkaz"/>
            <w:rFonts w:cs="Open Sans"/>
          </w:rPr>
          <w:t>Jakub.knapp@crestcom.cz</w:t>
        </w:r>
      </w:hyperlink>
    </w:p>
    <w:p w14:paraId="0076460C" w14:textId="6187AC66" w:rsidR="00C60B9C" w:rsidRPr="00C60B9C" w:rsidRDefault="00C60B9C" w:rsidP="009449C4">
      <w:pPr>
        <w:spacing w:after="0"/>
        <w:rPr>
          <w:rFonts w:cs="Open Sans"/>
        </w:rPr>
      </w:pPr>
      <w:r>
        <w:rPr>
          <w:rFonts w:cs="Open Sans"/>
        </w:rPr>
        <w:t>737 046 947</w:t>
      </w:r>
    </w:p>
    <w:sectPr w:rsidR="00C60B9C" w:rsidRPr="00C60B9C">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CB50C" w14:textId="77777777" w:rsidR="00814AD9" w:rsidRDefault="00814AD9" w:rsidP="00C00401">
      <w:r>
        <w:separator/>
      </w:r>
    </w:p>
  </w:endnote>
  <w:endnote w:type="continuationSeparator" w:id="0">
    <w:p w14:paraId="0BD3AD79" w14:textId="77777777" w:rsidR="00814AD9" w:rsidRDefault="00814AD9" w:rsidP="00C0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E791658" w14:paraId="7B7E4F7F" w14:textId="77777777" w:rsidTr="7E791658">
      <w:trPr>
        <w:trHeight w:val="300"/>
      </w:trPr>
      <w:tc>
        <w:tcPr>
          <w:tcW w:w="3020" w:type="dxa"/>
        </w:tcPr>
        <w:p w14:paraId="15343DB0" w14:textId="77777777" w:rsidR="7E791658" w:rsidRDefault="7E791658" w:rsidP="00C00401">
          <w:pPr>
            <w:pStyle w:val="Zhlav"/>
          </w:pPr>
        </w:p>
      </w:tc>
      <w:tc>
        <w:tcPr>
          <w:tcW w:w="3020" w:type="dxa"/>
        </w:tcPr>
        <w:p w14:paraId="102F4D46" w14:textId="77777777" w:rsidR="7E791658" w:rsidRDefault="7E791658" w:rsidP="00C00401">
          <w:pPr>
            <w:pStyle w:val="Zhlav"/>
          </w:pPr>
        </w:p>
      </w:tc>
      <w:tc>
        <w:tcPr>
          <w:tcW w:w="3020" w:type="dxa"/>
        </w:tcPr>
        <w:p w14:paraId="01B44316" w14:textId="77777777" w:rsidR="7E791658" w:rsidRDefault="7E791658" w:rsidP="00C00401">
          <w:pPr>
            <w:pStyle w:val="Zhlav"/>
          </w:pPr>
        </w:p>
      </w:tc>
    </w:tr>
  </w:tbl>
  <w:p w14:paraId="37BCB74C" w14:textId="77777777" w:rsidR="7E791658" w:rsidRDefault="7E791658" w:rsidP="00C004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10A4E" w14:textId="77777777" w:rsidR="00814AD9" w:rsidRDefault="00814AD9" w:rsidP="00C00401">
      <w:r>
        <w:separator/>
      </w:r>
    </w:p>
  </w:footnote>
  <w:footnote w:type="continuationSeparator" w:id="0">
    <w:p w14:paraId="678F3C20" w14:textId="77777777" w:rsidR="00814AD9" w:rsidRDefault="00814AD9" w:rsidP="00C00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CC11" w14:textId="77777777" w:rsidR="009B404E" w:rsidRPr="00C00401" w:rsidRDefault="009B404E" w:rsidP="00C00401">
    <w:pPr>
      <w:pStyle w:val="Zahlavi"/>
    </w:pPr>
    <w:r w:rsidRPr="00C00401">
      <w:drawing>
        <wp:anchor distT="0" distB="0" distL="114300" distR="114300" simplePos="0" relativeHeight="251658240" behindDoc="0" locked="0" layoutInCell="1" allowOverlap="1" wp14:anchorId="6845EDC8" wp14:editId="5DC0020C">
          <wp:simplePos x="0" y="0"/>
          <wp:positionH relativeFrom="column">
            <wp:posOffset>4310380</wp:posOffset>
          </wp:positionH>
          <wp:positionV relativeFrom="paragraph">
            <wp:posOffset>-325755</wp:posOffset>
          </wp:positionV>
          <wp:extent cx="1895475" cy="768985"/>
          <wp:effectExtent l="0" t="0" r="9525" b="0"/>
          <wp:wrapSquare wrapText="bothSides"/>
          <wp:docPr id="399986389"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6389" name="Grafický objekt 3999863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95475" cy="768985"/>
                  </a:xfrm>
                  <a:prstGeom prst="rect">
                    <a:avLst/>
                  </a:prstGeom>
                </pic:spPr>
              </pic:pic>
            </a:graphicData>
          </a:graphic>
        </wp:anchor>
      </w:drawing>
    </w:r>
  </w:p>
  <w:p w14:paraId="3D056159" w14:textId="77777777" w:rsidR="009B404E" w:rsidRDefault="009B404E" w:rsidP="00C004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7135C"/>
    <w:multiLevelType w:val="hybridMultilevel"/>
    <w:tmpl w:val="88DCF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215095"/>
    <w:multiLevelType w:val="hybridMultilevel"/>
    <w:tmpl w:val="5CD0E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3438E0"/>
    <w:multiLevelType w:val="multilevel"/>
    <w:tmpl w:val="33581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3B1F05"/>
    <w:multiLevelType w:val="multilevel"/>
    <w:tmpl w:val="5A8C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AC5539"/>
    <w:multiLevelType w:val="multilevel"/>
    <w:tmpl w:val="6A662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EE29D4"/>
    <w:multiLevelType w:val="multilevel"/>
    <w:tmpl w:val="EAE6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36087"/>
    <w:multiLevelType w:val="multilevel"/>
    <w:tmpl w:val="EE18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BD040F"/>
    <w:multiLevelType w:val="multilevel"/>
    <w:tmpl w:val="D038A2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3E032A"/>
    <w:multiLevelType w:val="multilevel"/>
    <w:tmpl w:val="45FA1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AA0531"/>
    <w:multiLevelType w:val="multilevel"/>
    <w:tmpl w:val="B1A45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A62F41"/>
    <w:multiLevelType w:val="multilevel"/>
    <w:tmpl w:val="0AF6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CF2EDC"/>
    <w:multiLevelType w:val="hybridMultilevel"/>
    <w:tmpl w:val="CC3CD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3321472"/>
    <w:multiLevelType w:val="multilevel"/>
    <w:tmpl w:val="1E2854C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E0B305E"/>
    <w:multiLevelType w:val="hybridMultilevel"/>
    <w:tmpl w:val="3AE4BC7C"/>
    <w:lvl w:ilvl="0" w:tplc="8E32B94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2757161">
    <w:abstractNumId w:val="12"/>
  </w:num>
  <w:num w:numId="2" w16cid:durableId="363099003">
    <w:abstractNumId w:val="0"/>
  </w:num>
  <w:num w:numId="3" w16cid:durableId="1533155299">
    <w:abstractNumId w:val="8"/>
  </w:num>
  <w:num w:numId="4" w16cid:durableId="1809980726">
    <w:abstractNumId w:val="9"/>
  </w:num>
  <w:num w:numId="5" w16cid:durableId="1958484008">
    <w:abstractNumId w:val="7"/>
  </w:num>
  <w:num w:numId="6" w16cid:durableId="854686921">
    <w:abstractNumId w:val="2"/>
  </w:num>
  <w:num w:numId="7" w16cid:durableId="1984118866">
    <w:abstractNumId w:val="4"/>
  </w:num>
  <w:num w:numId="8" w16cid:durableId="128133814">
    <w:abstractNumId w:val="13"/>
  </w:num>
  <w:num w:numId="9" w16cid:durableId="1499270494">
    <w:abstractNumId w:val="10"/>
  </w:num>
  <w:num w:numId="10" w16cid:durableId="1155218835">
    <w:abstractNumId w:val="3"/>
  </w:num>
  <w:num w:numId="11" w16cid:durableId="1201473057">
    <w:abstractNumId w:val="5"/>
  </w:num>
  <w:num w:numId="12" w16cid:durableId="1603875942">
    <w:abstractNumId w:val="11"/>
  </w:num>
  <w:num w:numId="13" w16cid:durableId="1193878460">
    <w:abstractNumId w:val="1"/>
  </w:num>
  <w:num w:numId="14" w16cid:durableId="2041857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96"/>
    <w:rsid w:val="0000021F"/>
    <w:rsid w:val="00001B23"/>
    <w:rsid w:val="00001B35"/>
    <w:rsid w:val="00004FFD"/>
    <w:rsid w:val="00005DFE"/>
    <w:rsid w:val="0000658B"/>
    <w:rsid w:val="000073D8"/>
    <w:rsid w:val="0000786E"/>
    <w:rsid w:val="0000794B"/>
    <w:rsid w:val="00010A63"/>
    <w:rsid w:val="00010B20"/>
    <w:rsid w:val="000130A7"/>
    <w:rsid w:val="000156C5"/>
    <w:rsid w:val="000165AA"/>
    <w:rsid w:val="000166FB"/>
    <w:rsid w:val="000167C8"/>
    <w:rsid w:val="00016F51"/>
    <w:rsid w:val="000177F2"/>
    <w:rsid w:val="000205CA"/>
    <w:rsid w:val="000232BB"/>
    <w:rsid w:val="00027827"/>
    <w:rsid w:val="00030C15"/>
    <w:rsid w:val="00031FAB"/>
    <w:rsid w:val="00032B9B"/>
    <w:rsid w:val="00032BF6"/>
    <w:rsid w:val="000344D4"/>
    <w:rsid w:val="0003572F"/>
    <w:rsid w:val="000357C9"/>
    <w:rsid w:val="00035827"/>
    <w:rsid w:val="00035FAF"/>
    <w:rsid w:val="000370E4"/>
    <w:rsid w:val="00037794"/>
    <w:rsid w:val="00041CF6"/>
    <w:rsid w:val="0004389E"/>
    <w:rsid w:val="000442A5"/>
    <w:rsid w:val="00044FC3"/>
    <w:rsid w:val="000456D8"/>
    <w:rsid w:val="000458D0"/>
    <w:rsid w:val="000460C4"/>
    <w:rsid w:val="00046406"/>
    <w:rsid w:val="00046FCB"/>
    <w:rsid w:val="000514DD"/>
    <w:rsid w:val="00052C56"/>
    <w:rsid w:val="00055DF8"/>
    <w:rsid w:val="00055FE9"/>
    <w:rsid w:val="00057716"/>
    <w:rsid w:val="000611AF"/>
    <w:rsid w:val="000625FE"/>
    <w:rsid w:val="00063A45"/>
    <w:rsid w:val="00063B10"/>
    <w:rsid w:val="000647F4"/>
    <w:rsid w:val="00065953"/>
    <w:rsid w:val="000662C5"/>
    <w:rsid w:val="00070171"/>
    <w:rsid w:val="00072048"/>
    <w:rsid w:val="000725B0"/>
    <w:rsid w:val="00072C62"/>
    <w:rsid w:val="00073C2D"/>
    <w:rsid w:val="00074C4C"/>
    <w:rsid w:val="00075457"/>
    <w:rsid w:val="000761B4"/>
    <w:rsid w:val="00076806"/>
    <w:rsid w:val="00076EE5"/>
    <w:rsid w:val="0008013E"/>
    <w:rsid w:val="000816F4"/>
    <w:rsid w:val="0008245D"/>
    <w:rsid w:val="000828F2"/>
    <w:rsid w:val="00083A38"/>
    <w:rsid w:val="00083CAE"/>
    <w:rsid w:val="0008658B"/>
    <w:rsid w:val="000873CA"/>
    <w:rsid w:val="000874D6"/>
    <w:rsid w:val="000917FE"/>
    <w:rsid w:val="00091A0C"/>
    <w:rsid w:val="00091AB5"/>
    <w:rsid w:val="00092A5C"/>
    <w:rsid w:val="00092FF4"/>
    <w:rsid w:val="00094ABB"/>
    <w:rsid w:val="000962CF"/>
    <w:rsid w:val="000970DD"/>
    <w:rsid w:val="000A025B"/>
    <w:rsid w:val="000A10EE"/>
    <w:rsid w:val="000A1203"/>
    <w:rsid w:val="000A22D0"/>
    <w:rsid w:val="000A2FCE"/>
    <w:rsid w:val="000A4128"/>
    <w:rsid w:val="000A5BC8"/>
    <w:rsid w:val="000B0146"/>
    <w:rsid w:val="000B3761"/>
    <w:rsid w:val="000B3F78"/>
    <w:rsid w:val="000B491A"/>
    <w:rsid w:val="000B53EF"/>
    <w:rsid w:val="000B5540"/>
    <w:rsid w:val="000B6269"/>
    <w:rsid w:val="000B6644"/>
    <w:rsid w:val="000B799B"/>
    <w:rsid w:val="000C1F47"/>
    <w:rsid w:val="000C32FA"/>
    <w:rsid w:val="000C4389"/>
    <w:rsid w:val="000D1903"/>
    <w:rsid w:val="000D5103"/>
    <w:rsid w:val="000D6645"/>
    <w:rsid w:val="000D6A46"/>
    <w:rsid w:val="000D6D02"/>
    <w:rsid w:val="000E0245"/>
    <w:rsid w:val="000E0D1B"/>
    <w:rsid w:val="000E157E"/>
    <w:rsid w:val="000E2A8F"/>
    <w:rsid w:val="000E6A0D"/>
    <w:rsid w:val="000F2B58"/>
    <w:rsid w:val="000F3C52"/>
    <w:rsid w:val="000F6513"/>
    <w:rsid w:val="0010033D"/>
    <w:rsid w:val="00100EF2"/>
    <w:rsid w:val="00102EE3"/>
    <w:rsid w:val="00103C5D"/>
    <w:rsid w:val="001132AB"/>
    <w:rsid w:val="00114A22"/>
    <w:rsid w:val="00116AFB"/>
    <w:rsid w:val="00121E7F"/>
    <w:rsid w:val="00123A82"/>
    <w:rsid w:val="00123CBB"/>
    <w:rsid w:val="00126081"/>
    <w:rsid w:val="0012633D"/>
    <w:rsid w:val="00126A40"/>
    <w:rsid w:val="00126CAB"/>
    <w:rsid w:val="00130CD5"/>
    <w:rsid w:val="001326E1"/>
    <w:rsid w:val="001349B3"/>
    <w:rsid w:val="00136991"/>
    <w:rsid w:val="001369B5"/>
    <w:rsid w:val="001376CF"/>
    <w:rsid w:val="00140D71"/>
    <w:rsid w:val="00141266"/>
    <w:rsid w:val="00141690"/>
    <w:rsid w:val="001429AE"/>
    <w:rsid w:val="00145A00"/>
    <w:rsid w:val="001474A8"/>
    <w:rsid w:val="00151589"/>
    <w:rsid w:val="00151753"/>
    <w:rsid w:val="001529F1"/>
    <w:rsid w:val="00154E66"/>
    <w:rsid w:val="00155502"/>
    <w:rsid w:val="00160E3C"/>
    <w:rsid w:val="00161442"/>
    <w:rsid w:val="00161DEA"/>
    <w:rsid w:val="00163105"/>
    <w:rsid w:val="001653DF"/>
    <w:rsid w:val="00165C6C"/>
    <w:rsid w:val="001665F9"/>
    <w:rsid w:val="001666F9"/>
    <w:rsid w:val="00166AF9"/>
    <w:rsid w:val="001671B0"/>
    <w:rsid w:val="001700C2"/>
    <w:rsid w:val="00170800"/>
    <w:rsid w:val="001710AF"/>
    <w:rsid w:val="0017134D"/>
    <w:rsid w:val="001726F3"/>
    <w:rsid w:val="00172E17"/>
    <w:rsid w:val="00180E6A"/>
    <w:rsid w:val="00183600"/>
    <w:rsid w:val="00183FB6"/>
    <w:rsid w:val="001842E5"/>
    <w:rsid w:val="001850C3"/>
    <w:rsid w:val="00187004"/>
    <w:rsid w:val="0018739C"/>
    <w:rsid w:val="001876D3"/>
    <w:rsid w:val="0019024B"/>
    <w:rsid w:val="001932B1"/>
    <w:rsid w:val="001946FC"/>
    <w:rsid w:val="00197F73"/>
    <w:rsid w:val="001A06AC"/>
    <w:rsid w:val="001A0D25"/>
    <w:rsid w:val="001A1292"/>
    <w:rsid w:val="001A1D0A"/>
    <w:rsid w:val="001A2107"/>
    <w:rsid w:val="001A21A3"/>
    <w:rsid w:val="001A35E3"/>
    <w:rsid w:val="001A43FC"/>
    <w:rsid w:val="001A4F1C"/>
    <w:rsid w:val="001B0607"/>
    <w:rsid w:val="001B3538"/>
    <w:rsid w:val="001B4EA0"/>
    <w:rsid w:val="001B5BA6"/>
    <w:rsid w:val="001C0693"/>
    <w:rsid w:val="001C1F70"/>
    <w:rsid w:val="001C2B99"/>
    <w:rsid w:val="001C434C"/>
    <w:rsid w:val="001C580D"/>
    <w:rsid w:val="001C6F2E"/>
    <w:rsid w:val="001C7341"/>
    <w:rsid w:val="001D072D"/>
    <w:rsid w:val="001D10AA"/>
    <w:rsid w:val="001D24B7"/>
    <w:rsid w:val="001D279C"/>
    <w:rsid w:val="001D2C8C"/>
    <w:rsid w:val="001D4EB5"/>
    <w:rsid w:val="001D588D"/>
    <w:rsid w:val="001D598E"/>
    <w:rsid w:val="001E080B"/>
    <w:rsid w:val="001E1289"/>
    <w:rsid w:val="001E302B"/>
    <w:rsid w:val="001E30CC"/>
    <w:rsid w:val="001E68DC"/>
    <w:rsid w:val="001E6AB9"/>
    <w:rsid w:val="001E6F3F"/>
    <w:rsid w:val="001E6F4D"/>
    <w:rsid w:val="001E7717"/>
    <w:rsid w:val="001F00A7"/>
    <w:rsid w:val="001F250E"/>
    <w:rsid w:val="001F44D8"/>
    <w:rsid w:val="002029CF"/>
    <w:rsid w:val="002049BE"/>
    <w:rsid w:val="00204ED4"/>
    <w:rsid w:val="00207B4D"/>
    <w:rsid w:val="00210700"/>
    <w:rsid w:val="002113C3"/>
    <w:rsid w:val="002119CD"/>
    <w:rsid w:val="00211D63"/>
    <w:rsid w:val="00213647"/>
    <w:rsid w:val="00213ED1"/>
    <w:rsid w:val="002141DB"/>
    <w:rsid w:val="00214205"/>
    <w:rsid w:val="0021451A"/>
    <w:rsid w:val="002157D5"/>
    <w:rsid w:val="00215E72"/>
    <w:rsid w:val="002160C4"/>
    <w:rsid w:val="00216DBA"/>
    <w:rsid w:val="00217258"/>
    <w:rsid w:val="002176F9"/>
    <w:rsid w:val="00217BE6"/>
    <w:rsid w:val="00217E22"/>
    <w:rsid w:val="00221487"/>
    <w:rsid w:val="0022158E"/>
    <w:rsid w:val="00221B94"/>
    <w:rsid w:val="00222C93"/>
    <w:rsid w:val="00224B01"/>
    <w:rsid w:val="002303EC"/>
    <w:rsid w:val="00233E02"/>
    <w:rsid w:val="00234369"/>
    <w:rsid w:val="002344D8"/>
    <w:rsid w:val="00234D95"/>
    <w:rsid w:val="00236FB7"/>
    <w:rsid w:val="002379C0"/>
    <w:rsid w:val="00241F37"/>
    <w:rsid w:val="00244FD3"/>
    <w:rsid w:val="00245AAA"/>
    <w:rsid w:val="002505B0"/>
    <w:rsid w:val="00251351"/>
    <w:rsid w:val="0025211B"/>
    <w:rsid w:val="002521C9"/>
    <w:rsid w:val="00257F3E"/>
    <w:rsid w:val="00260F8F"/>
    <w:rsid w:val="00261CA3"/>
    <w:rsid w:val="00263614"/>
    <w:rsid w:val="002639B4"/>
    <w:rsid w:val="00271C46"/>
    <w:rsid w:val="00273A05"/>
    <w:rsid w:val="00274D60"/>
    <w:rsid w:val="00276880"/>
    <w:rsid w:val="00276C6C"/>
    <w:rsid w:val="00276F7D"/>
    <w:rsid w:val="002772E1"/>
    <w:rsid w:val="00280C2B"/>
    <w:rsid w:val="00281BB4"/>
    <w:rsid w:val="00284142"/>
    <w:rsid w:val="002876FC"/>
    <w:rsid w:val="00287DF5"/>
    <w:rsid w:val="002905E6"/>
    <w:rsid w:val="0029083A"/>
    <w:rsid w:val="00292F00"/>
    <w:rsid w:val="0029488E"/>
    <w:rsid w:val="00295A20"/>
    <w:rsid w:val="002A007D"/>
    <w:rsid w:val="002A1734"/>
    <w:rsid w:val="002A1B55"/>
    <w:rsid w:val="002A1EE5"/>
    <w:rsid w:val="002A21E4"/>
    <w:rsid w:val="002A32F4"/>
    <w:rsid w:val="002A53DA"/>
    <w:rsid w:val="002A62CB"/>
    <w:rsid w:val="002B13B2"/>
    <w:rsid w:val="002B64F1"/>
    <w:rsid w:val="002B70E7"/>
    <w:rsid w:val="002C2E3A"/>
    <w:rsid w:val="002C382A"/>
    <w:rsid w:val="002C59EB"/>
    <w:rsid w:val="002C5A45"/>
    <w:rsid w:val="002C60DA"/>
    <w:rsid w:val="002D21FA"/>
    <w:rsid w:val="002D2EC6"/>
    <w:rsid w:val="002D4EB8"/>
    <w:rsid w:val="002D4EE4"/>
    <w:rsid w:val="002E07EE"/>
    <w:rsid w:val="002E0CCF"/>
    <w:rsid w:val="002E1AF8"/>
    <w:rsid w:val="002E22C9"/>
    <w:rsid w:val="002E36A6"/>
    <w:rsid w:val="002E54F5"/>
    <w:rsid w:val="002E6475"/>
    <w:rsid w:val="002E7709"/>
    <w:rsid w:val="002E7C7D"/>
    <w:rsid w:val="002F0D47"/>
    <w:rsid w:val="002F558C"/>
    <w:rsid w:val="002F5EC2"/>
    <w:rsid w:val="002F5FAF"/>
    <w:rsid w:val="002F716A"/>
    <w:rsid w:val="00300545"/>
    <w:rsid w:val="003024F0"/>
    <w:rsid w:val="00303617"/>
    <w:rsid w:val="0030492E"/>
    <w:rsid w:val="003060EB"/>
    <w:rsid w:val="003066C2"/>
    <w:rsid w:val="00306FF7"/>
    <w:rsid w:val="00307B7B"/>
    <w:rsid w:val="00307DE5"/>
    <w:rsid w:val="00310F86"/>
    <w:rsid w:val="003144D8"/>
    <w:rsid w:val="00315B04"/>
    <w:rsid w:val="00315C3A"/>
    <w:rsid w:val="00317268"/>
    <w:rsid w:val="00317763"/>
    <w:rsid w:val="00320C20"/>
    <w:rsid w:val="0032315D"/>
    <w:rsid w:val="00325C24"/>
    <w:rsid w:val="003270C2"/>
    <w:rsid w:val="0033053C"/>
    <w:rsid w:val="00330807"/>
    <w:rsid w:val="00330F57"/>
    <w:rsid w:val="00331594"/>
    <w:rsid w:val="003319EC"/>
    <w:rsid w:val="00332E89"/>
    <w:rsid w:val="00333D22"/>
    <w:rsid w:val="00334FAF"/>
    <w:rsid w:val="00335646"/>
    <w:rsid w:val="00340F69"/>
    <w:rsid w:val="00341989"/>
    <w:rsid w:val="00342AF0"/>
    <w:rsid w:val="003447BB"/>
    <w:rsid w:val="00347F9F"/>
    <w:rsid w:val="00350AAF"/>
    <w:rsid w:val="00350F2D"/>
    <w:rsid w:val="00351D19"/>
    <w:rsid w:val="0035269E"/>
    <w:rsid w:val="00352A2A"/>
    <w:rsid w:val="0035357F"/>
    <w:rsid w:val="003601CF"/>
    <w:rsid w:val="003633AD"/>
    <w:rsid w:val="003657AB"/>
    <w:rsid w:val="00370622"/>
    <w:rsid w:val="00370FC7"/>
    <w:rsid w:val="0037171D"/>
    <w:rsid w:val="00371FF8"/>
    <w:rsid w:val="00373847"/>
    <w:rsid w:val="003748A7"/>
    <w:rsid w:val="003760BD"/>
    <w:rsid w:val="00376685"/>
    <w:rsid w:val="00376B28"/>
    <w:rsid w:val="0037762B"/>
    <w:rsid w:val="00377D0C"/>
    <w:rsid w:val="00377D97"/>
    <w:rsid w:val="00380ED4"/>
    <w:rsid w:val="003815E3"/>
    <w:rsid w:val="003820CE"/>
    <w:rsid w:val="00382E6E"/>
    <w:rsid w:val="00384151"/>
    <w:rsid w:val="00387642"/>
    <w:rsid w:val="003915C5"/>
    <w:rsid w:val="00397C9A"/>
    <w:rsid w:val="003A04E7"/>
    <w:rsid w:val="003A162E"/>
    <w:rsid w:val="003A1803"/>
    <w:rsid w:val="003A2D44"/>
    <w:rsid w:val="003A354B"/>
    <w:rsid w:val="003A56E8"/>
    <w:rsid w:val="003A607A"/>
    <w:rsid w:val="003B238C"/>
    <w:rsid w:val="003B23D1"/>
    <w:rsid w:val="003B4005"/>
    <w:rsid w:val="003B4C87"/>
    <w:rsid w:val="003B6A74"/>
    <w:rsid w:val="003C0112"/>
    <w:rsid w:val="003C05F6"/>
    <w:rsid w:val="003C1A63"/>
    <w:rsid w:val="003C6BEA"/>
    <w:rsid w:val="003C7AB4"/>
    <w:rsid w:val="003D045C"/>
    <w:rsid w:val="003D0D6C"/>
    <w:rsid w:val="003D2348"/>
    <w:rsid w:val="003D2B7B"/>
    <w:rsid w:val="003D58BA"/>
    <w:rsid w:val="003D61CB"/>
    <w:rsid w:val="003D66CE"/>
    <w:rsid w:val="003E1DFE"/>
    <w:rsid w:val="003E2E09"/>
    <w:rsid w:val="003E396C"/>
    <w:rsid w:val="003E3BF6"/>
    <w:rsid w:val="003E5D6E"/>
    <w:rsid w:val="003F20AC"/>
    <w:rsid w:val="003F2B6E"/>
    <w:rsid w:val="003F2DE9"/>
    <w:rsid w:val="003F3774"/>
    <w:rsid w:val="003F6CED"/>
    <w:rsid w:val="00403326"/>
    <w:rsid w:val="00403CAE"/>
    <w:rsid w:val="004122B4"/>
    <w:rsid w:val="00413DF2"/>
    <w:rsid w:val="00414E7C"/>
    <w:rsid w:val="00415388"/>
    <w:rsid w:val="00415B19"/>
    <w:rsid w:val="00415D66"/>
    <w:rsid w:val="00416592"/>
    <w:rsid w:val="004173C5"/>
    <w:rsid w:val="004200A0"/>
    <w:rsid w:val="004204A7"/>
    <w:rsid w:val="0042374E"/>
    <w:rsid w:val="00423A41"/>
    <w:rsid w:val="004240D9"/>
    <w:rsid w:val="0042592F"/>
    <w:rsid w:val="004261C0"/>
    <w:rsid w:val="00427184"/>
    <w:rsid w:val="0042731D"/>
    <w:rsid w:val="00430FEE"/>
    <w:rsid w:val="0043125B"/>
    <w:rsid w:val="00431921"/>
    <w:rsid w:val="00432F8F"/>
    <w:rsid w:val="00433265"/>
    <w:rsid w:val="0043437F"/>
    <w:rsid w:val="00435F26"/>
    <w:rsid w:val="00437603"/>
    <w:rsid w:val="004447EB"/>
    <w:rsid w:val="00445B8E"/>
    <w:rsid w:val="004461D9"/>
    <w:rsid w:val="00446A76"/>
    <w:rsid w:val="00452C38"/>
    <w:rsid w:val="004568B8"/>
    <w:rsid w:val="004630DE"/>
    <w:rsid w:val="00463F22"/>
    <w:rsid w:val="00465D61"/>
    <w:rsid w:val="00465E22"/>
    <w:rsid w:val="00466237"/>
    <w:rsid w:val="004665DB"/>
    <w:rsid w:val="00467561"/>
    <w:rsid w:val="00467FC4"/>
    <w:rsid w:val="00471A81"/>
    <w:rsid w:val="004741F4"/>
    <w:rsid w:val="00476146"/>
    <w:rsid w:val="00476C89"/>
    <w:rsid w:val="004777C9"/>
    <w:rsid w:val="00477D14"/>
    <w:rsid w:val="00480BE8"/>
    <w:rsid w:val="00480D15"/>
    <w:rsid w:val="00481BA9"/>
    <w:rsid w:val="00483220"/>
    <w:rsid w:val="00483610"/>
    <w:rsid w:val="004852AE"/>
    <w:rsid w:val="00485C48"/>
    <w:rsid w:val="00485FF4"/>
    <w:rsid w:val="00486147"/>
    <w:rsid w:val="004866AD"/>
    <w:rsid w:val="004877F4"/>
    <w:rsid w:val="00490009"/>
    <w:rsid w:val="004907BA"/>
    <w:rsid w:val="00490EC1"/>
    <w:rsid w:val="0049178B"/>
    <w:rsid w:val="004924BD"/>
    <w:rsid w:val="004942A2"/>
    <w:rsid w:val="0049585A"/>
    <w:rsid w:val="00496EAF"/>
    <w:rsid w:val="004A1E82"/>
    <w:rsid w:val="004A2C0D"/>
    <w:rsid w:val="004A35C4"/>
    <w:rsid w:val="004A4993"/>
    <w:rsid w:val="004A4E19"/>
    <w:rsid w:val="004B10CA"/>
    <w:rsid w:val="004B2C36"/>
    <w:rsid w:val="004B33BF"/>
    <w:rsid w:val="004B5EC1"/>
    <w:rsid w:val="004B651F"/>
    <w:rsid w:val="004B7096"/>
    <w:rsid w:val="004C26FE"/>
    <w:rsid w:val="004C3812"/>
    <w:rsid w:val="004C50E4"/>
    <w:rsid w:val="004C5C16"/>
    <w:rsid w:val="004C5D53"/>
    <w:rsid w:val="004C67E0"/>
    <w:rsid w:val="004C74C2"/>
    <w:rsid w:val="004D030F"/>
    <w:rsid w:val="004D127B"/>
    <w:rsid w:val="004D2462"/>
    <w:rsid w:val="004D249B"/>
    <w:rsid w:val="004D386B"/>
    <w:rsid w:val="004D3C32"/>
    <w:rsid w:val="004D53B6"/>
    <w:rsid w:val="004D66A4"/>
    <w:rsid w:val="004D7882"/>
    <w:rsid w:val="004E35EB"/>
    <w:rsid w:val="004E41B1"/>
    <w:rsid w:val="004E456D"/>
    <w:rsid w:val="004E5C13"/>
    <w:rsid w:val="004E6F7B"/>
    <w:rsid w:val="004E78A7"/>
    <w:rsid w:val="004F2062"/>
    <w:rsid w:val="004F4F21"/>
    <w:rsid w:val="004F6C36"/>
    <w:rsid w:val="005002F0"/>
    <w:rsid w:val="0050184A"/>
    <w:rsid w:val="00501FC9"/>
    <w:rsid w:val="005037AB"/>
    <w:rsid w:val="00510476"/>
    <w:rsid w:val="00511218"/>
    <w:rsid w:val="00511492"/>
    <w:rsid w:val="00514BA1"/>
    <w:rsid w:val="00517194"/>
    <w:rsid w:val="0052179A"/>
    <w:rsid w:val="005219C6"/>
    <w:rsid w:val="00523422"/>
    <w:rsid w:val="005234FF"/>
    <w:rsid w:val="00523961"/>
    <w:rsid w:val="00524CF0"/>
    <w:rsid w:val="005259FB"/>
    <w:rsid w:val="00526D07"/>
    <w:rsid w:val="0052714D"/>
    <w:rsid w:val="00527B9A"/>
    <w:rsid w:val="00527F93"/>
    <w:rsid w:val="00530530"/>
    <w:rsid w:val="00530E8C"/>
    <w:rsid w:val="005334C2"/>
    <w:rsid w:val="00533D3B"/>
    <w:rsid w:val="005348C6"/>
    <w:rsid w:val="005352F5"/>
    <w:rsid w:val="00536896"/>
    <w:rsid w:val="00540518"/>
    <w:rsid w:val="00542979"/>
    <w:rsid w:val="005436D2"/>
    <w:rsid w:val="00543CB0"/>
    <w:rsid w:val="005445B6"/>
    <w:rsid w:val="00545980"/>
    <w:rsid w:val="00547331"/>
    <w:rsid w:val="00547822"/>
    <w:rsid w:val="00547F33"/>
    <w:rsid w:val="00552D7D"/>
    <w:rsid w:val="00555ECD"/>
    <w:rsid w:val="005564B3"/>
    <w:rsid w:val="00556F99"/>
    <w:rsid w:val="0055794D"/>
    <w:rsid w:val="00557960"/>
    <w:rsid w:val="00557DFF"/>
    <w:rsid w:val="00562B35"/>
    <w:rsid w:val="00562D26"/>
    <w:rsid w:val="00567B61"/>
    <w:rsid w:val="00567ED9"/>
    <w:rsid w:val="00567FA0"/>
    <w:rsid w:val="005708F1"/>
    <w:rsid w:val="00572FC0"/>
    <w:rsid w:val="00573667"/>
    <w:rsid w:val="005737A5"/>
    <w:rsid w:val="00574A21"/>
    <w:rsid w:val="00575099"/>
    <w:rsid w:val="0057569E"/>
    <w:rsid w:val="0057650B"/>
    <w:rsid w:val="0057733B"/>
    <w:rsid w:val="00581AC6"/>
    <w:rsid w:val="00581FDA"/>
    <w:rsid w:val="00583B7A"/>
    <w:rsid w:val="00583C0E"/>
    <w:rsid w:val="00585167"/>
    <w:rsid w:val="00585A8C"/>
    <w:rsid w:val="005903D0"/>
    <w:rsid w:val="005930D5"/>
    <w:rsid w:val="005936A5"/>
    <w:rsid w:val="005970E4"/>
    <w:rsid w:val="00597FB7"/>
    <w:rsid w:val="005A0029"/>
    <w:rsid w:val="005A2153"/>
    <w:rsid w:val="005A3916"/>
    <w:rsid w:val="005A3AF4"/>
    <w:rsid w:val="005A3BF5"/>
    <w:rsid w:val="005A4358"/>
    <w:rsid w:val="005A595A"/>
    <w:rsid w:val="005A6B95"/>
    <w:rsid w:val="005B2544"/>
    <w:rsid w:val="005B27B1"/>
    <w:rsid w:val="005B2AF7"/>
    <w:rsid w:val="005B4102"/>
    <w:rsid w:val="005B48CF"/>
    <w:rsid w:val="005B518F"/>
    <w:rsid w:val="005B55F4"/>
    <w:rsid w:val="005B5649"/>
    <w:rsid w:val="005B5F6E"/>
    <w:rsid w:val="005B6B51"/>
    <w:rsid w:val="005C00E6"/>
    <w:rsid w:val="005C1922"/>
    <w:rsid w:val="005C3067"/>
    <w:rsid w:val="005C3118"/>
    <w:rsid w:val="005C3384"/>
    <w:rsid w:val="005C41E6"/>
    <w:rsid w:val="005C43E7"/>
    <w:rsid w:val="005C46D2"/>
    <w:rsid w:val="005C5272"/>
    <w:rsid w:val="005C5F49"/>
    <w:rsid w:val="005C7588"/>
    <w:rsid w:val="005C77FF"/>
    <w:rsid w:val="005D16E9"/>
    <w:rsid w:val="005D2443"/>
    <w:rsid w:val="005D2E94"/>
    <w:rsid w:val="005D3A25"/>
    <w:rsid w:val="005D3C12"/>
    <w:rsid w:val="005D48A0"/>
    <w:rsid w:val="005D5F6D"/>
    <w:rsid w:val="005E261B"/>
    <w:rsid w:val="005E2C7A"/>
    <w:rsid w:val="005E3B20"/>
    <w:rsid w:val="005E79B1"/>
    <w:rsid w:val="005F5D29"/>
    <w:rsid w:val="005F7916"/>
    <w:rsid w:val="00601121"/>
    <w:rsid w:val="006017A0"/>
    <w:rsid w:val="00601E6A"/>
    <w:rsid w:val="0060314C"/>
    <w:rsid w:val="0060368E"/>
    <w:rsid w:val="00604BAA"/>
    <w:rsid w:val="00605533"/>
    <w:rsid w:val="00605586"/>
    <w:rsid w:val="006101D7"/>
    <w:rsid w:val="00614953"/>
    <w:rsid w:val="00614E23"/>
    <w:rsid w:val="0061589B"/>
    <w:rsid w:val="006164E5"/>
    <w:rsid w:val="0061675A"/>
    <w:rsid w:val="0061730E"/>
    <w:rsid w:val="00620DD7"/>
    <w:rsid w:val="00624221"/>
    <w:rsid w:val="00625046"/>
    <w:rsid w:val="00625B35"/>
    <w:rsid w:val="00625B6D"/>
    <w:rsid w:val="0062602A"/>
    <w:rsid w:val="006261F9"/>
    <w:rsid w:val="00627190"/>
    <w:rsid w:val="00627B68"/>
    <w:rsid w:val="00632F5C"/>
    <w:rsid w:val="00633335"/>
    <w:rsid w:val="00633408"/>
    <w:rsid w:val="00633ADD"/>
    <w:rsid w:val="0063512A"/>
    <w:rsid w:val="0063692F"/>
    <w:rsid w:val="00636E48"/>
    <w:rsid w:val="006375DA"/>
    <w:rsid w:val="00640A81"/>
    <w:rsid w:val="00640C88"/>
    <w:rsid w:val="00641FD4"/>
    <w:rsid w:val="00642442"/>
    <w:rsid w:val="00642B26"/>
    <w:rsid w:val="00645879"/>
    <w:rsid w:val="00646452"/>
    <w:rsid w:val="00646D90"/>
    <w:rsid w:val="00646FA2"/>
    <w:rsid w:val="006526AF"/>
    <w:rsid w:val="006533F6"/>
    <w:rsid w:val="006536C1"/>
    <w:rsid w:val="0065455C"/>
    <w:rsid w:val="0065529F"/>
    <w:rsid w:val="006569AC"/>
    <w:rsid w:val="00657A80"/>
    <w:rsid w:val="006628BF"/>
    <w:rsid w:val="00662DD9"/>
    <w:rsid w:val="00667DC3"/>
    <w:rsid w:val="00670042"/>
    <w:rsid w:val="006709B2"/>
    <w:rsid w:val="00670ACD"/>
    <w:rsid w:val="00671152"/>
    <w:rsid w:val="0067199E"/>
    <w:rsid w:val="006736A5"/>
    <w:rsid w:val="00675641"/>
    <w:rsid w:val="00676954"/>
    <w:rsid w:val="00676B63"/>
    <w:rsid w:val="0068081E"/>
    <w:rsid w:val="00680B9D"/>
    <w:rsid w:val="0068289E"/>
    <w:rsid w:val="00682902"/>
    <w:rsid w:val="0068301F"/>
    <w:rsid w:val="00684354"/>
    <w:rsid w:val="006848CD"/>
    <w:rsid w:val="00684A60"/>
    <w:rsid w:val="00687446"/>
    <w:rsid w:val="00690362"/>
    <w:rsid w:val="00690A80"/>
    <w:rsid w:val="006924E0"/>
    <w:rsid w:val="0069527F"/>
    <w:rsid w:val="0069560E"/>
    <w:rsid w:val="0069578A"/>
    <w:rsid w:val="00696E39"/>
    <w:rsid w:val="00697C05"/>
    <w:rsid w:val="00697FD8"/>
    <w:rsid w:val="006A1252"/>
    <w:rsid w:val="006A1663"/>
    <w:rsid w:val="006A5A1E"/>
    <w:rsid w:val="006A607D"/>
    <w:rsid w:val="006A68AF"/>
    <w:rsid w:val="006A6AF3"/>
    <w:rsid w:val="006A6E08"/>
    <w:rsid w:val="006A78CB"/>
    <w:rsid w:val="006B30FD"/>
    <w:rsid w:val="006B3147"/>
    <w:rsid w:val="006B5AC0"/>
    <w:rsid w:val="006B5CF3"/>
    <w:rsid w:val="006B7E92"/>
    <w:rsid w:val="006C0694"/>
    <w:rsid w:val="006C26BA"/>
    <w:rsid w:val="006C2B06"/>
    <w:rsid w:val="006C308A"/>
    <w:rsid w:val="006C3AD8"/>
    <w:rsid w:val="006C4423"/>
    <w:rsid w:val="006C4CF0"/>
    <w:rsid w:val="006C541F"/>
    <w:rsid w:val="006D0815"/>
    <w:rsid w:val="006D2C9F"/>
    <w:rsid w:val="006D3F48"/>
    <w:rsid w:val="006D596E"/>
    <w:rsid w:val="006D784C"/>
    <w:rsid w:val="006E0E12"/>
    <w:rsid w:val="006E111A"/>
    <w:rsid w:val="006E290E"/>
    <w:rsid w:val="006E2CB7"/>
    <w:rsid w:val="006E3B9F"/>
    <w:rsid w:val="006E4179"/>
    <w:rsid w:val="006E4B11"/>
    <w:rsid w:val="006E4D69"/>
    <w:rsid w:val="006E576A"/>
    <w:rsid w:val="006E5E5C"/>
    <w:rsid w:val="006E6B5A"/>
    <w:rsid w:val="006F00A9"/>
    <w:rsid w:val="006F14CC"/>
    <w:rsid w:val="006F1D3A"/>
    <w:rsid w:val="006F26F7"/>
    <w:rsid w:val="006F2B8E"/>
    <w:rsid w:val="006F3E9F"/>
    <w:rsid w:val="006F50FA"/>
    <w:rsid w:val="006F5A5A"/>
    <w:rsid w:val="006F64EE"/>
    <w:rsid w:val="006F6884"/>
    <w:rsid w:val="006F7EA4"/>
    <w:rsid w:val="00700A3E"/>
    <w:rsid w:val="00701655"/>
    <w:rsid w:val="00701CE2"/>
    <w:rsid w:val="00702BC1"/>
    <w:rsid w:val="007034DF"/>
    <w:rsid w:val="0070424B"/>
    <w:rsid w:val="00705139"/>
    <w:rsid w:val="0070582A"/>
    <w:rsid w:val="00712072"/>
    <w:rsid w:val="007123ED"/>
    <w:rsid w:val="007140DC"/>
    <w:rsid w:val="00714664"/>
    <w:rsid w:val="00714827"/>
    <w:rsid w:val="0071539D"/>
    <w:rsid w:val="0071543B"/>
    <w:rsid w:val="0071584B"/>
    <w:rsid w:val="00720B44"/>
    <w:rsid w:val="00720EA3"/>
    <w:rsid w:val="007211E6"/>
    <w:rsid w:val="007233E9"/>
    <w:rsid w:val="00723A7F"/>
    <w:rsid w:val="00723B3E"/>
    <w:rsid w:val="00724E23"/>
    <w:rsid w:val="0073599A"/>
    <w:rsid w:val="0073629A"/>
    <w:rsid w:val="00736FB4"/>
    <w:rsid w:val="0073769F"/>
    <w:rsid w:val="0074064F"/>
    <w:rsid w:val="00740EB7"/>
    <w:rsid w:val="0074144C"/>
    <w:rsid w:val="00741559"/>
    <w:rsid w:val="007420B7"/>
    <w:rsid w:val="0074213D"/>
    <w:rsid w:val="00743B30"/>
    <w:rsid w:val="007447AA"/>
    <w:rsid w:val="00745876"/>
    <w:rsid w:val="007517BE"/>
    <w:rsid w:val="00751C55"/>
    <w:rsid w:val="00753F29"/>
    <w:rsid w:val="0075473B"/>
    <w:rsid w:val="007570DA"/>
    <w:rsid w:val="0075784E"/>
    <w:rsid w:val="00760177"/>
    <w:rsid w:val="00761DB4"/>
    <w:rsid w:val="007622A0"/>
    <w:rsid w:val="007628AB"/>
    <w:rsid w:val="00762EEA"/>
    <w:rsid w:val="00764CDC"/>
    <w:rsid w:val="00766084"/>
    <w:rsid w:val="007667E7"/>
    <w:rsid w:val="0076759E"/>
    <w:rsid w:val="00770401"/>
    <w:rsid w:val="00771253"/>
    <w:rsid w:val="00772295"/>
    <w:rsid w:val="0077319D"/>
    <w:rsid w:val="0077485B"/>
    <w:rsid w:val="00775798"/>
    <w:rsid w:val="00775A54"/>
    <w:rsid w:val="00775DDB"/>
    <w:rsid w:val="007774BA"/>
    <w:rsid w:val="00777674"/>
    <w:rsid w:val="00777E72"/>
    <w:rsid w:val="00780CC5"/>
    <w:rsid w:val="00781EA6"/>
    <w:rsid w:val="00782679"/>
    <w:rsid w:val="00784603"/>
    <w:rsid w:val="007847A2"/>
    <w:rsid w:val="00784A20"/>
    <w:rsid w:val="00785512"/>
    <w:rsid w:val="00785AA8"/>
    <w:rsid w:val="00785D3B"/>
    <w:rsid w:val="00787256"/>
    <w:rsid w:val="00787BE3"/>
    <w:rsid w:val="00792601"/>
    <w:rsid w:val="007931B4"/>
    <w:rsid w:val="0079445A"/>
    <w:rsid w:val="0079453F"/>
    <w:rsid w:val="007945C5"/>
    <w:rsid w:val="00795BB7"/>
    <w:rsid w:val="0079C103"/>
    <w:rsid w:val="007A0EAA"/>
    <w:rsid w:val="007A19CA"/>
    <w:rsid w:val="007A33B4"/>
    <w:rsid w:val="007A3E15"/>
    <w:rsid w:val="007A408F"/>
    <w:rsid w:val="007A4C41"/>
    <w:rsid w:val="007A5591"/>
    <w:rsid w:val="007A5956"/>
    <w:rsid w:val="007A5EA9"/>
    <w:rsid w:val="007A67EE"/>
    <w:rsid w:val="007A71F6"/>
    <w:rsid w:val="007A7C9E"/>
    <w:rsid w:val="007B0B03"/>
    <w:rsid w:val="007B2BA5"/>
    <w:rsid w:val="007B799F"/>
    <w:rsid w:val="007C095C"/>
    <w:rsid w:val="007C1A1F"/>
    <w:rsid w:val="007C2CDA"/>
    <w:rsid w:val="007C718C"/>
    <w:rsid w:val="007C7CD9"/>
    <w:rsid w:val="007C7EDE"/>
    <w:rsid w:val="007D0277"/>
    <w:rsid w:val="007D0E72"/>
    <w:rsid w:val="007D131A"/>
    <w:rsid w:val="007D14CA"/>
    <w:rsid w:val="007D4412"/>
    <w:rsid w:val="007D69D8"/>
    <w:rsid w:val="007D7647"/>
    <w:rsid w:val="007E095E"/>
    <w:rsid w:val="007E20ED"/>
    <w:rsid w:val="007E2628"/>
    <w:rsid w:val="007E32E7"/>
    <w:rsid w:val="007E5E5F"/>
    <w:rsid w:val="007F0386"/>
    <w:rsid w:val="007F2559"/>
    <w:rsid w:val="007F4550"/>
    <w:rsid w:val="007F7153"/>
    <w:rsid w:val="007F72D1"/>
    <w:rsid w:val="0080087D"/>
    <w:rsid w:val="00802969"/>
    <w:rsid w:val="00803535"/>
    <w:rsid w:val="00803EB2"/>
    <w:rsid w:val="00804C96"/>
    <w:rsid w:val="00805EFB"/>
    <w:rsid w:val="008072AB"/>
    <w:rsid w:val="00807679"/>
    <w:rsid w:val="008118A6"/>
    <w:rsid w:val="00814A6B"/>
    <w:rsid w:val="00814AD9"/>
    <w:rsid w:val="00814BDC"/>
    <w:rsid w:val="00817E83"/>
    <w:rsid w:val="008205FD"/>
    <w:rsid w:val="008210F1"/>
    <w:rsid w:val="008221FB"/>
    <w:rsid w:val="00831DC0"/>
    <w:rsid w:val="00834F5C"/>
    <w:rsid w:val="0083675C"/>
    <w:rsid w:val="00836913"/>
    <w:rsid w:val="00840CAB"/>
    <w:rsid w:val="00841960"/>
    <w:rsid w:val="00843288"/>
    <w:rsid w:val="008435B7"/>
    <w:rsid w:val="008463DB"/>
    <w:rsid w:val="0084687D"/>
    <w:rsid w:val="008478EB"/>
    <w:rsid w:val="008548B4"/>
    <w:rsid w:val="00854D1B"/>
    <w:rsid w:val="0085622D"/>
    <w:rsid w:val="008575AC"/>
    <w:rsid w:val="00857C45"/>
    <w:rsid w:val="00861B1D"/>
    <w:rsid w:val="00863C67"/>
    <w:rsid w:val="00863DB8"/>
    <w:rsid w:val="00865055"/>
    <w:rsid w:val="0086518E"/>
    <w:rsid w:val="00867DAE"/>
    <w:rsid w:val="00871BF3"/>
    <w:rsid w:val="008725ED"/>
    <w:rsid w:val="00872B79"/>
    <w:rsid w:val="00872EA0"/>
    <w:rsid w:val="0087697F"/>
    <w:rsid w:val="008769C2"/>
    <w:rsid w:val="00876F1A"/>
    <w:rsid w:val="0087704C"/>
    <w:rsid w:val="00877CD1"/>
    <w:rsid w:val="0088575D"/>
    <w:rsid w:val="008862B6"/>
    <w:rsid w:val="00887773"/>
    <w:rsid w:val="00890652"/>
    <w:rsid w:val="00891452"/>
    <w:rsid w:val="00893535"/>
    <w:rsid w:val="00893CF1"/>
    <w:rsid w:val="00896196"/>
    <w:rsid w:val="0089657F"/>
    <w:rsid w:val="0089709C"/>
    <w:rsid w:val="008A1276"/>
    <w:rsid w:val="008A24A7"/>
    <w:rsid w:val="008A30DF"/>
    <w:rsid w:val="008A6C2D"/>
    <w:rsid w:val="008B011E"/>
    <w:rsid w:val="008B0CFF"/>
    <w:rsid w:val="008B3101"/>
    <w:rsid w:val="008B3F8C"/>
    <w:rsid w:val="008B43A7"/>
    <w:rsid w:val="008B6064"/>
    <w:rsid w:val="008B6913"/>
    <w:rsid w:val="008B6BB9"/>
    <w:rsid w:val="008B76D7"/>
    <w:rsid w:val="008C0488"/>
    <w:rsid w:val="008C11E2"/>
    <w:rsid w:val="008C331D"/>
    <w:rsid w:val="008C39EB"/>
    <w:rsid w:val="008C3ACB"/>
    <w:rsid w:val="008C42E7"/>
    <w:rsid w:val="008D00A7"/>
    <w:rsid w:val="008D130E"/>
    <w:rsid w:val="008D5C65"/>
    <w:rsid w:val="008D63B4"/>
    <w:rsid w:val="008D6759"/>
    <w:rsid w:val="008D6DA3"/>
    <w:rsid w:val="008E0BDF"/>
    <w:rsid w:val="008E17AA"/>
    <w:rsid w:val="008E1DB1"/>
    <w:rsid w:val="008E2D11"/>
    <w:rsid w:val="008E3EA0"/>
    <w:rsid w:val="008E4261"/>
    <w:rsid w:val="008E48B2"/>
    <w:rsid w:val="008E4A2D"/>
    <w:rsid w:val="008E54E6"/>
    <w:rsid w:val="008E5E3C"/>
    <w:rsid w:val="008E5E8A"/>
    <w:rsid w:val="008E6495"/>
    <w:rsid w:val="008E7379"/>
    <w:rsid w:val="008F15FD"/>
    <w:rsid w:val="008F1B78"/>
    <w:rsid w:val="008F2519"/>
    <w:rsid w:val="008F2E8E"/>
    <w:rsid w:val="008F38A3"/>
    <w:rsid w:val="008F4BB2"/>
    <w:rsid w:val="008F63B4"/>
    <w:rsid w:val="008F6E2B"/>
    <w:rsid w:val="008F7DD5"/>
    <w:rsid w:val="009001FB"/>
    <w:rsid w:val="00900BDB"/>
    <w:rsid w:val="00900CC8"/>
    <w:rsid w:val="00900FC8"/>
    <w:rsid w:val="009022A7"/>
    <w:rsid w:val="00903430"/>
    <w:rsid w:val="00903DAF"/>
    <w:rsid w:val="009045F1"/>
    <w:rsid w:val="00904A09"/>
    <w:rsid w:val="00907A2C"/>
    <w:rsid w:val="00910DFC"/>
    <w:rsid w:val="00911C8E"/>
    <w:rsid w:val="00912C31"/>
    <w:rsid w:val="00912EE6"/>
    <w:rsid w:val="009136E9"/>
    <w:rsid w:val="00914149"/>
    <w:rsid w:val="00914FC5"/>
    <w:rsid w:val="00916526"/>
    <w:rsid w:val="00921DD5"/>
    <w:rsid w:val="00924E12"/>
    <w:rsid w:val="00925822"/>
    <w:rsid w:val="009276BF"/>
    <w:rsid w:val="0093300D"/>
    <w:rsid w:val="00934C71"/>
    <w:rsid w:val="00936648"/>
    <w:rsid w:val="0094179C"/>
    <w:rsid w:val="00942094"/>
    <w:rsid w:val="009422C4"/>
    <w:rsid w:val="00944403"/>
    <w:rsid w:val="009449C4"/>
    <w:rsid w:val="00945B49"/>
    <w:rsid w:val="00945E70"/>
    <w:rsid w:val="009464F0"/>
    <w:rsid w:val="00946A7C"/>
    <w:rsid w:val="00947789"/>
    <w:rsid w:val="00951331"/>
    <w:rsid w:val="00951667"/>
    <w:rsid w:val="009553E4"/>
    <w:rsid w:val="009563F0"/>
    <w:rsid w:val="009563F3"/>
    <w:rsid w:val="009604E3"/>
    <w:rsid w:val="0096059C"/>
    <w:rsid w:val="0096146E"/>
    <w:rsid w:val="0096395A"/>
    <w:rsid w:val="009652B7"/>
    <w:rsid w:val="00966A44"/>
    <w:rsid w:val="009675DB"/>
    <w:rsid w:val="009726B3"/>
    <w:rsid w:val="009729D6"/>
    <w:rsid w:val="00972C42"/>
    <w:rsid w:val="00977B2A"/>
    <w:rsid w:val="00977E0B"/>
    <w:rsid w:val="0098297B"/>
    <w:rsid w:val="00985B26"/>
    <w:rsid w:val="0098652C"/>
    <w:rsid w:val="009868A4"/>
    <w:rsid w:val="00990C10"/>
    <w:rsid w:val="0099159B"/>
    <w:rsid w:val="00991EE9"/>
    <w:rsid w:val="009924AC"/>
    <w:rsid w:val="009943C1"/>
    <w:rsid w:val="00994825"/>
    <w:rsid w:val="009965D1"/>
    <w:rsid w:val="009968CC"/>
    <w:rsid w:val="009A08DC"/>
    <w:rsid w:val="009A0F46"/>
    <w:rsid w:val="009A122D"/>
    <w:rsid w:val="009A3B8B"/>
    <w:rsid w:val="009A4B3A"/>
    <w:rsid w:val="009A55AB"/>
    <w:rsid w:val="009A6856"/>
    <w:rsid w:val="009B167B"/>
    <w:rsid w:val="009B2515"/>
    <w:rsid w:val="009B26C4"/>
    <w:rsid w:val="009B404E"/>
    <w:rsid w:val="009B6497"/>
    <w:rsid w:val="009B6A19"/>
    <w:rsid w:val="009C14C8"/>
    <w:rsid w:val="009C1551"/>
    <w:rsid w:val="009C1B95"/>
    <w:rsid w:val="009C279C"/>
    <w:rsid w:val="009C3231"/>
    <w:rsid w:val="009C33BB"/>
    <w:rsid w:val="009C34E8"/>
    <w:rsid w:val="009C4173"/>
    <w:rsid w:val="009C433A"/>
    <w:rsid w:val="009C582A"/>
    <w:rsid w:val="009C5C2F"/>
    <w:rsid w:val="009C5F67"/>
    <w:rsid w:val="009C6F94"/>
    <w:rsid w:val="009C7AD5"/>
    <w:rsid w:val="009D2F8F"/>
    <w:rsid w:val="009D52BD"/>
    <w:rsid w:val="009D783E"/>
    <w:rsid w:val="009E2880"/>
    <w:rsid w:val="009E5E71"/>
    <w:rsid w:val="009E61F4"/>
    <w:rsid w:val="009E633E"/>
    <w:rsid w:val="009F0A28"/>
    <w:rsid w:val="009F1289"/>
    <w:rsid w:val="009F659F"/>
    <w:rsid w:val="009F7F91"/>
    <w:rsid w:val="00A00D0C"/>
    <w:rsid w:val="00A00E29"/>
    <w:rsid w:val="00A025CE"/>
    <w:rsid w:val="00A03813"/>
    <w:rsid w:val="00A04690"/>
    <w:rsid w:val="00A12266"/>
    <w:rsid w:val="00A138C6"/>
    <w:rsid w:val="00A227F3"/>
    <w:rsid w:val="00A22B3B"/>
    <w:rsid w:val="00A23030"/>
    <w:rsid w:val="00A256B0"/>
    <w:rsid w:val="00A2580D"/>
    <w:rsid w:val="00A25E47"/>
    <w:rsid w:val="00A26B45"/>
    <w:rsid w:val="00A27453"/>
    <w:rsid w:val="00A276DC"/>
    <w:rsid w:val="00A3017D"/>
    <w:rsid w:val="00A30F25"/>
    <w:rsid w:val="00A32AF8"/>
    <w:rsid w:val="00A32B8C"/>
    <w:rsid w:val="00A3562A"/>
    <w:rsid w:val="00A358BC"/>
    <w:rsid w:val="00A36BFC"/>
    <w:rsid w:val="00A3757E"/>
    <w:rsid w:val="00A37C88"/>
    <w:rsid w:val="00A40B33"/>
    <w:rsid w:val="00A40F11"/>
    <w:rsid w:val="00A427CF"/>
    <w:rsid w:val="00A44368"/>
    <w:rsid w:val="00A447C4"/>
    <w:rsid w:val="00A44B03"/>
    <w:rsid w:val="00A46B10"/>
    <w:rsid w:val="00A4725B"/>
    <w:rsid w:val="00A479D7"/>
    <w:rsid w:val="00A50422"/>
    <w:rsid w:val="00A504E4"/>
    <w:rsid w:val="00A52597"/>
    <w:rsid w:val="00A5334F"/>
    <w:rsid w:val="00A55C70"/>
    <w:rsid w:val="00A567C8"/>
    <w:rsid w:val="00A61A11"/>
    <w:rsid w:val="00A62AEE"/>
    <w:rsid w:val="00A62FB4"/>
    <w:rsid w:val="00A64445"/>
    <w:rsid w:val="00A67316"/>
    <w:rsid w:val="00A704E3"/>
    <w:rsid w:val="00A7188B"/>
    <w:rsid w:val="00A71FAF"/>
    <w:rsid w:val="00A72EF1"/>
    <w:rsid w:val="00A73D80"/>
    <w:rsid w:val="00A75C38"/>
    <w:rsid w:val="00A770A2"/>
    <w:rsid w:val="00A77FFD"/>
    <w:rsid w:val="00A8064B"/>
    <w:rsid w:val="00A8163E"/>
    <w:rsid w:val="00A831F9"/>
    <w:rsid w:val="00A850B8"/>
    <w:rsid w:val="00A855CB"/>
    <w:rsid w:val="00A85B12"/>
    <w:rsid w:val="00A8653F"/>
    <w:rsid w:val="00A90ED4"/>
    <w:rsid w:val="00A90FD8"/>
    <w:rsid w:val="00A917AE"/>
    <w:rsid w:val="00A91FC0"/>
    <w:rsid w:val="00A923C5"/>
    <w:rsid w:val="00A92C01"/>
    <w:rsid w:val="00A935AE"/>
    <w:rsid w:val="00A93A04"/>
    <w:rsid w:val="00A93FF1"/>
    <w:rsid w:val="00A94264"/>
    <w:rsid w:val="00A97EA8"/>
    <w:rsid w:val="00AA262C"/>
    <w:rsid w:val="00AA4917"/>
    <w:rsid w:val="00AA4C9E"/>
    <w:rsid w:val="00AA7D6D"/>
    <w:rsid w:val="00AB0DC6"/>
    <w:rsid w:val="00AB0F6F"/>
    <w:rsid w:val="00AB258D"/>
    <w:rsid w:val="00AB4F4A"/>
    <w:rsid w:val="00AB5CB4"/>
    <w:rsid w:val="00AC04FA"/>
    <w:rsid w:val="00AC098E"/>
    <w:rsid w:val="00AC3BD3"/>
    <w:rsid w:val="00AC44A1"/>
    <w:rsid w:val="00AC44D5"/>
    <w:rsid w:val="00AC56F9"/>
    <w:rsid w:val="00AC6099"/>
    <w:rsid w:val="00AC6739"/>
    <w:rsid w:val="00AC7B69"/>
    <w:rsid w:val="00AD129B"/>
    <w:rsid w:val="00AD164D"/>
    <w:rsid w:val="00AD5FBD"/>
    <w:rsid w:val="00AD6E21"/>
    <w:rsid w:val="00AE11DE"/>
    <w:rsid w:val="00AE3344"/>
    <w:rsid w:val="00AE3FB8"/>
    <w:rsid w:val="00AE44FC"/>
    <w:rsid w:val="00AE5263"/>
    <w:rsid w:val="00AE66D3"/>
    <w:rsid w:val="00AF1D50"/>
    <w:rsid w:val="00AF1D81"/>
    <w:rsid w:val="00AF3C41"/>
    <w:rsid w:val="00AF51A5"/>
    <w:rsid w:val="00AF5FA3"/>
    <w:rsid w:val="00AF69E3"/>
    <w:rsid w:val="00AF7487"/>
    <w:rsid w:val="00AF7F0A"/>
    <w:rsid w:val="00B0017B"/>
    <w:rsid w:val="00B05318"/>
    <w:rsid w:val="00B0753E"/>
    <w:rsid w:val="00B07FD3"/>
    <w:rsid w:val="00B117BC"/>
    <w:rsid w:val="00B12028"/>
    <w:rsid w:val="00B120F4"/>
    <w:rsid w:val="00B12756"/>
    <w:rsid w:val="00B13DE2"/>
    <w:rsid w:val="00B13F76"/>
    <w:rsid w:val="00B13FF9"/>
    <w:rsid w:val="00B15FB5"/>
    <w:rsid w:val="00B164B1"/>
    <w:rsid w:val="00B16892"/>
    <w:rsid w:val="00B1724C"/>
    <w:rsid w:val="00B202CF"/>
    <w:rsid w:val="00B20DE5"/>
    <w:rsid w:val="00B21C6E"/>
    <w:rsid w:val="00B21DC7"/>
    <w:rsid w:val="00B22509"/>
    <w:rsid w:val="00B22D06"/>
    <w:rsid w:val="00B23C32"/>
    <w:rsid w:val="00B27DE4"/>
    <w:rsid w:val="00B33F2B"/>
    <w:rsid w:val="00B34CF5"/>
    <w:rsid w:val="00B35B56"/>
    <w:rsid w:val="00B37005"/>
    <w:rsid w:val="00B417EB"/>
    <w:rsid w:val="00B41EB6"/>
    <w:rsid w:val="00B43670"/>
    <w:rsid w:val="00B448AC"/>
    <w:rsid w:val="00B47FCC"/>
    <w:rsid w:val="00B5056C"/>
    <w:rsid w:val="00B521F6"/>
    <w:rsid w:val="00B522E3"/>
    <w:rsid w:val="00B53E24"/>
    <w:rsid w:val="00B54964"/>
    <w:rsid w:val="00B6054C"/>
    <w:rsid w:val="00B60AD8"/>
    <w:rsid w:val="00B61DB0"/>
    <w:rsid w:val="00B61EF6"/>
    <w:rsid w:val="00B64D4C"/>
    <w:rsid w:val="00B666DD"/>
    <w:rsid w:val="00B711B4"/>
    <w:rsid w:val="00B72809"/>
    <w:rsid w:val="00B74531"/>
    <w:rsid w:val="00B75A21"/>
    <w:rsid w:val="00B76021"/>
    <w:rsid w:val="00B77104"/>
    <w:rsid w:val="00B7733B"/>
    <w:rsid w:val="00B806BB"/>
    <w:rsid w:val="00B8118B"/>
    <w:rsid w:val="00B81E6E"/>
    <w:rsid w:val="00B82B0A"/>
    <w:rsid w:val="00B900E8"/>
    <w:rsid w:val="00B912E9"/>
    <w:rsid w:val="00B91760"/>
    <w:rsid w:val="00B91D0F"/>
    <w:rsid w:val="00B9612C"/>
    <w:rsid w:val="00B96B36"/>
    <w:rsid w:val="00B97396"/>
    <w:rsid w:val="00BA0080"/>
    <w:rsid w:val="00BA0D1B"/>
    <w:rsid w:val="00BA148A"/>
    <w:rsid w:val="00BA21EA"/>
    <w:rsid w:val="00BA39E7"/>
    <w:rsid w:val="00BA4F2A"/>
    <w:rsid w:val="00BA6043"/>
    <w:rsid w:val="00BA7289"/>
    <w:rsid w:val="00BB17CC"/>
    <w:rsid w:val="00BB43AB"/>
    <w:rsid w:val="00BB4CBA"/>
    <w:rsid w:val="00BB512A"/>
    <w:rsid w:val="00BB6FF7"/>
    <w:rsid w:val="00BB778B"/>
    <w:rsid w:val="00BB7DEE"/>
    <w:rsid w:val="00BC1615"/>
    <w:rsid w:val="00BC3B16"/>
    <w:rsid w:val="00BC4964"/>
    <w:rsid w:val="00BC49B3"/>
    <w:rsid w:val="00BC5379"/>
    <w:rsid w:val="00BC5D43"/>
    <w:rsid w:val="00BD0DBD"/>
    <w:rsid w:val="00BD217C"/>
    <w:rsid w:val="00BD2554"/>
    <w:rsid w:val="00BD2B5D"/>
    <w:rsid w:val="00BD3F59"/>
    <w:rsid w:val="00BD4B98"/>
    <w:rsid w:val="00BD4EC6"/>
    <w:rsid w:val="00BD72B2"/>
    <w:rsid w:val="00BE05D9"/>
    <w:rsid w:val="00BE0841"/>
    <w:rsid w:val="00BE2144"/>
    <w:rsid w:val="00BE39AB"/>
    <w:rsid w:val="00BE41CB"/>
    <w:rsid w:val="00BE45D2"/>
    <w:rsid w:val="00BE54F4"/>
    <w:rsid w:val="00BE60C9"/>
    <w:rsid w:val="00BE6133"/>
    <w:rsid w:val="00BF008A"/>
    <w:rsid w:val="00BF2654"/>
    <w:rsid w:val="00BF4A07"/>
    <w:rsid w:val="00BF6153"/>
    <w:rsid w:val="00BF62B5"/>
    <w:rsid w:val="00C00401"/>
    <w:rsid w:val="00C013A6"/>
    <w:rsid w:val="00C01607"/>
    <w:rsid w:val="00C035DC"/>
    <w:rsid w:val="00C03F8B"/>
    <w:rsid w:val="00C05B60"/>
    <w:rsid w:val="00C0738E"/>
    <w:rsid w:val="00C10C87"/>
    <w:rsid w:val="00C10D7B"/>
    <w:rsid w:val="00C12468"/>
    <w:rsid w:val="00C15D5A"/>
    <w:rsid w:val="00C1613E"/>
    <w:rsid w:val="00C164FC"/>
    <w:rsid w:val="00C17073"/>
    <w:rsid w:val="00C20803"/>
    <w:rsid w:val="00C228A7"/>
    <w:rsid w:val="00C2341A"/>
    <w:rsid w:val="00C24881"/>
    <w:rsid w:val="00C30A5E"/>
    <w:rsid w:val="00C33D9C"/>
    <w:rsid w:val="00C36091"/>
    <w:rsid w:val="00C3652F"/>
    <w:rsid w:val="00C37453"/>
    <w:rsid w:val="00C37A00"/>
    <w:rsid w:val="00C37F48"/>
    <w:rsid w:val="00C40507"/>
    <w:rsid w:val="00C40E6E"/>
    <w:rsid w:val="00C4358C"/>
    <w:rsid w:val="00C43B7E"/>
    <w:rsid w:val="00C43F2E"/>
    <w:rsid w:val="00C45D00"/>
    <w:rsid w:val="00C468C6"/>
    <w:rsid w:val="00C5060F"/>
    <w:rsid w:val="00C508D3"/>
    <w:rsid w:val="00C50A3A"/>
    <w:rsid w:val="00C51182"/>
    <w:rsid w:val="00C52BF1"/>
    <w:rsid w:val="00C52D76"/>
    <w:rsid w:val="00C53F93"/>
    <w:rsid w:val="00C60B9C"/>
    <w:rsid w:val="00C6200B"/>
    <w:rsid w:val="00C63A1E"/>
    <w:rsid w:val="00C6449E"/>
    <w:rsid w:val="00C644E2"/>
    <w:rsid w:val="00C6692D"/>
    <w:rsid w:val="00C67F58"/>
    <w:rsid w:val="00C705F1"/>
    <w:rsid w:val="00C70A48"/>
    <w:rsid w:val="00C710A0"/>
    <w:rsid w:val="00C71AF3"/>
    <w:rsid w:val="00C72AA4"/>
    <w:rsid w:val="00C72C31"/>
    <w:rsid w:val="00C72F71"/>
    <w:rsid w:val="00C74478"/>
    <w:rsid w:val="00C75A28"/>
    <w:rsid w:val="00C77369"/>
    <w:rsid w:val="00C77BA4"/>
    <w:rsid w:val="00C8104A"/>
    <w:rsid w:val="00C81A1E"/>
    <w:rsid w:val="00C8279B"/>
    <w:rsid w:val="00C82F07"/>
    <w:rsid w:val="00C84B78"/>
    <w:rsid w:val="00C872FA"/>
    <w:rsid w:val="00C904BE"/>
    <w:rsid w:val="00C9054B"/>
    <w:rsid w:val="00C932D5"/>
    <w:rsid w:val="00C93FFF"/>
    <w:rsid w:val="00C950E4"/>
    <w:rsid w:val="00C95DC2"/>
    <w:rsid w:val="00C97907"/>
    <w:rsid w:val="00CA0001"/>
    <w:rsid w:val="00CA1655"/>
    <w:rsid w:val="00CA184D"/>
    <w:rsid w:val="00CA2DF4"/>
    <w:rsid w:val="00CA466B"/>
    <w:rsid w:val="00CA4D2B"/>
    <w:rsid w:val="00CA5749"/>
    <w:rsid w:val="00CA5E51"/>
    <w:rsid w:val="00CA679E"/>
    <w:rsid w:val="00CB0971"/>
    <w:rsid w:val="00CB40DE"/>
    <w:rsid w:val="00CB643F"/>
    <w:rsid w:val="00CB6B5D"/>
    <w:rsid w:val="00CB75B8"/>
    <w:rsid w:val="00CC1555"/>
    <w:rsid w:val="00CC1AC9"/>
    <w:rsid w:val="00CC49CF"/>
    <w:rsid w:val="00CC4E6E"/>
    <w:rsid w:val="00CC5200"/>
    <w:rsid w:val="00CC6B2F"/>
    <w:rsid w:val="00CC712D"/>
    <w:rsid w:val="00CC786D"/>
    <w:rsid w:val="00CD01EF"/>
    <w:rsid w:val="00CD3436"/>
    <w:rsid w:val="00CD481C"/>
    <w:rsid w:val="00CD5A3E"/>
    <w:rsid w:val="00CD7CB4"/>
    <w:rsid w:val="00CE36CE"/>
    <w:rsid w:val="00CE721A"/>
    <w:rsid w:val="00CF07C2"/>
    <w:rsid w:val="00CF09EA"/>
    <w:rsid w:val="00CF0B94"/>
    <w:rsid w:val="00CF2F1C"/>
    <w:rsid w:val="00CF6706"/>
    <w:rsid w:val="00CF763E"/>
    <w:rsid w:val="00D00BB8"/>
    <w:rsid w:val="00D0331D"/>
    <w:rsid w:val="00D045F9"/>
    <w:rsid w:val="00D048BF"/>
    <w:rsid w:val="00D04D47"/>
    <w:rsid w:val="00D05422"/>
    <w:rsid w:val="00D058BB"/>
    <w:rsid w:val="00D05FE5"/>
    <w:rsid w:val="00D06CC6"/>
    <w:rsid w:val="00D11C64"/>
    <w:rsid w:val="00D12CA3"/>
    <w:rsid w:val="00D16C7F"/>
    <w:rsid w:val="00D20C22"/>
    <w:rsid w:val="00D21B74"/>
    <w:rsid w:val="00D24664"/>
    <w:rsid w:val="00D250C7"/>
    <w:rsid w:val="00D272A4"/>
    <w:rsid w:val="00D275E1"/>
    <w:rsid w:val="00D30336"/>
    <w:rsid w:val="00D30481"/>
    <w:rsid w:val="00D30B4E"/>
    <w:rsid w:val="00D311F7"/>
    <w:rsid w:val="00D33E74"/>
    <w:rsid w:val="00D35E90"/>
    <w:rsid w:val="00D35FAC"/>
    <w:rsid w:val="00D401DB"/>
    <w:rsid w:val="00D40B2B"/>
    <w:rsid w:val="00D417FB"/>
    <w:rsid w:val="00D42C12"/>
    <w:rsid w:val="00D42D7A"/>
    <w:rsid w:val="00D440E7"/>
    <w:rsid w:val="00D467CE"/>
    <w:rsid w:val="00D46D6C"/>
    <w:rsid w:val="00D47298"/>
    <w:rsid w:val="00D474E2"/>
    <w:rsid w:val="00D51B1B"/>
    <w:rsid w:val="00D525EB"/>
    <w:rsid w:val="00D54B7E"/>
    <w:rsid w:val="00D57BA2"/>
    <w:rsid w:val="00D613ED"/>
    <w:rsid w:val="00D61F4A"/>
    <w:rsid w:val="00D64ED2"/>
    <w:rsid w:val="00D6706A"/>
    <w:rsid w:val="00D673C2"/>
    <w:rsid w:val="00D673E6"/>
    <w:rsid w:val="00D70E71"/>
    <w:rsid w:val="00D742F3"/>
    <w:rsid w:val="00D746B9"/>
    <w:rsid w:val="00D76BFE"/>
    <w:rsid w:val="00D7710D"/>
    <w:rsid w:val="00D773A8"/>
    <w:rsid w:val="00D8020F"/>
    <w:rsid w:val="00D81965"/>
    <w:rsid w:val="00D82624"/>
    <w:rsid w:val="00D82820"/>
    <w:rsid w:val="00D83D75"/>
    <w:rsid w:val="00D86F63"/>
    <w:rsid w:val="00D93854"/>
    <w:rsid w:val="00D9493F"/>
    <w:rsid w:val="00D95309"/>
    <w:rsid w:val="00DA10E3"/>
    <w:rsid w:val="00DA3E8C"/>
    <w:rsid w:val="00DA4958"/>
    <w:rsid w:val="00DA53F4"/>
    <w:rsid w:val="00DA6606"/>
    <w:rsid w:val="00DA6895"/>
    <w:rsid w:val="00DB13BD"/>
    <w:rsid w:val="00DB4344"/>
    <w:rsid w:val="00DB487B"/>
    <w:rsid w:val="00DC040C"/>
    <w:rsid w:val="00DC099B"/>
    <w:rsid w:val="00DC0B72"/>
    <w:rsid w:val="00DC39C5"/>
    <w:rsid w:val="00DC6068"/>
    <w:rsid w:val="00DC62F6"/>
    <w:rsid w:val="00DC6A2D"/>
    <w:rsid w:val="00DC73BB"/>
    <w:rsid w:val="00DC7E15"/>
    <w:rsid w:val="00DD0934"/>
    <w:rsid w:val="00DD0BBF"/>
    <w:rsid w:val="00DD14F7"/>
    <w:rsid w:val="00DD3199"/>
    <w:rsid w:val="00DD3504"/>
    <w:rsid w:val="00DE0208"/>
    <w:rsid w:val="00DE14A0"/>
    <w:rsid w:val="00DE155B"/>
    <w:rsid w:val="00DE3FA9"/>
    <w:rsid w:val="00DE4658"/>
    <w:rsid w:val="00DE551F"/>
    <w:rsid w:val="00DE6D10"/>
    <w:rsid w:val="00DF2A4D"/>
    <w:rsid w:val="00DF2E9C"/>
    <w:rsid w:val="00DF5261"/>
    <w:rsid w:val="00DF5284"/>
    <w:rsid w:val="00DF5466"/>
    <w:rsid w:val="00DF5859"/>
    <w:rsid w:val="00E00029"/>
    <w:rsid w:val="00E00C7F"/>
    <w:rsid w:val="00E03AED"/>
    <w:rsid w:val="00E04DD7"/>
    <w:rsid w:val="00E0672E"/>
    <w:rsid w:val="00E06A16"/>
    <w:rsid w:val="00E06EEB"/>
    <w:rsid w:val="00E07AB6"/>
    <w:rsid w:val="00E1024B"/>
    <w:rsid w:val="00E103D8"/>
    <w:rsid w:val="00E10E19"/>
    <w:rsid w:val="00E12436"/>
    <w:rsid w:val="00E1263A"/>
    <w:rsid w:val="00E14893"/>
    <w:rsid w:val="00E16DC2"/>
    <w:rsid w:val="00E20A4A"/>
    <w:rsid w:val="00E20F7F"/>
    <w:rsid w:val="00E21E20"/>
    <w:rsid w:val="00E2317D"/>
    <w:rsid w:val="00E26B98"/>
    <w:rsid w:val="00E32130"/>
    <w:rsid w:val="00E3283E"/>
    <w:rsid w:val="00E3284F"/>
    <w:rsid w:val="00E3388A"/>
    <w:rsid w:val="00E34BC6"/>
    <w:rsid w:val="00E34CA1"/>
    <w:rsid w:val="00E37871"/>
    <w:rsid w:val="00E37E43"/>
    <w:rsid w:val="00E37F04"/>
    <w:rsid w:val="00E40B7D"/>
    <w:rsid w:val="00E415EE"/>
    <w:rsid w:val="00E428FE"/>
    <w:rsid w:val="00E42B74"/>
    <w:rsid w:val="00E42C22"/>
    <w:rsid w:val="00E435CA"/>
    <w:rsid w:val="00E44A47"/>
    <w:rsid w:val="00E44CB9"/>
    <w:rsid w:val="00E45866"/>
    <w:rsid w:val="00E47ADA"/>
    <w:rsid w:val="00E50585"/>
    <w:rsid w:val="00E51CA1"/>
    <w:rsid w:val="00E5202A"/>
    <w:rsid w:val="00E537B6"/>
    <w:rsid w:val="00E54D0E"/>
    <w:rsid w:val="00E557AA"/>
    <w:rsid w:val="00E66151"/>
    <w:rsid w:val="00E663D9"/>
    <w:rsid w:val="00E710FA"/>
    <w:rsid w:val="00E7116D"/>
    <w:rsid w:val="00E72C1D"/>
    <w:rsid w:val="00E73A5C"/>
    <w:rsid w:val="00E75A42"/>
    <w:rsid w:val="00E76952"/>
    <w:rsid w:val="00E76C15"/>
    <w:rsid w:val="00E77E9F"/>
    <w:rsid w:val="00E80BE9"/>
    <w:rsid w:val="00E81A4C"/>
    <w:rsid w:val="00E81EB3"/>
    <w:rsid w:val="00E90531"/>
    <w:rsid w:val="00E90608"/>
    <w:rsid w:val="00E909D0"/>
    <w:rsid w:val="00E921A2"/>
    <w:rsid w:val="00E92752"/>
    <w:rsid w:val="00E93604"/>
    <w:rsid w:val="00E9468E"/>
    <w:rsid w:val="00E9533F"/>
    <w:rsid w:val="00E96468"/>
    <w:rsid w:val="00E9655B"/>
    <w:rsid w:val="00E96C11"/>
    <w:rsid w:val="00E97ACD"/>
    <w:rsid w:val="00EA0317"/>
    <w:rsid w:val="00EA1014"/>
    <w:rsid w:val="00EA1F15"/>
    <w:rsid w:val="00EA22F6"/>
    <w:rsid w:val="00EA4551"/>
    <w:rsid w:val="00EA4F3A"/>
    <w:rsid w:val="00EA5EE9"/>
    <w:rsid w:val="00EB0E9D"/>
    <w:rsid w:val="00EB106F"/>
    <w:rsid w:val="00EB5DFB"/>
    <w:rsid w:val="00EB7DA7"/>
    <w:rsid w:val="00EC19C5"/>
    <w:rsid w:val="00EC1BF8"/>
    <w:rsid w:val="00EC2B9E"/>
    <w:rsid w:val="00EC316C"/>
    <w:rsid w:val="00EC37B9"/>
    <w:rsid w:val="00EC3B34"/>
    <w:rsid w:val="00EC5915"/>
    <w:rsid w:val="00EC5DE0"/>
    <w:rsid w:val="00EC7065"/>
    <w:rsid w:val="00ED044F"/>
    <w:rsid w:val="00ED0B54"/>
    <w:rsid w:val="00ED3218"/>
    <w:rsid w:val="00ED3C89"/>
    <w:rsid w:val="00ED44FD"/>
    <w:rsid w:val="00ED577A"/>
    <w:rsid w:val="00ED5E79"/>
    <w:rsid w:val="00ED6C16"/>
    <w:rsid w:val="00EE004C"/>
    <w:rsid w:val="00EE0471"/>
    <w:rsid w:val="00EE1D68"/>
    <w:rsid w:val="00EE606D"/>
    <w:rsid w:val="00EE60A2"/>
    <w:rsid w:val="00EF2B7D"/>
    <w:rsid w:val="00EF5267"/>
    <w:rsid w:val="00F006D6"/>
    <w:rsid w:val="00F01AB5"/>
    <w:rsid w:val="00F01E72"/>
    <w:rsid w:val="00F02578"/>
    <w:rsid w:val="00F06373"/>
    <w:rsid w:val="00F07925"/>
    <w:rsid w:val="00F113D9"/>
    <w:rsid w:val="00F12AAE"/>
    <w:rsid w:val="00F13F91"/>
    <w:rsid w:val="00F14629"/>
    <w:rsid w:val="00F17089"/>
    <w:rsid w:val="00F17816"/>
    <w:rsid w:val="00F207D3"/>
    <w:rsid w:val="00F21AE9"/>
    <w:rsid w:val="00F226B3"/>
    <w:rsid w:val="00F22971"/>
    <w:rsid w:val="00F2379E"/>
    <w:rsid w:val="00F24F52"/>
    <w:rsid w:val="00F2555E"/>
    <w:rsid w:val="00F3163B"/>
    <w:rsid w:val="00F318ED"/>
    <w:rsid w:val="00F31C31"/>
    <w:rsid w:val="00F32CCA"/>
    <w:rsid w:val="00F33647"/>
    <w:rsid w:val="00F34D04"/>
    <w:rsid w:val="00F34E91"/>
    <w:rsid w:val="00F37599"/>
    <w:rsid w:val="00F4022E"/>
    <w:rsid w:val="00F4127B"/>
    <w:rsid w:val="00F419AC"/>
    <w:rsid w:val="00F42EAE"/>
    <w:rsid w:val="00F43C57"/>
    <w:rsid w:val="00F445A6"/>
    <w:rsid w:val="00F44CAB"/>
    <w:rsid w:val="00F454AD"/>
    <w:rsid w:val="00F45534"/>
    <w:rsid w:val="00F45A3C"/>
    <w:rsid w:val="00F463C6"/>
    <w:rsid w:val="00F46C72"/>
    <w:rsid w:val="00F47356"/>
    <w:rsid w:val="00F47D7B"/>
    <w:rsid w:val="00F5087F"/>
    <w:rsid w:val="00F5204E"/>
    <w:rsid w:val="00F53171"/>
    <w:rsid w:val="00F53CB5"/>
    <w:rsid w:val="00F542EB"/>
    <w:rsid w:val="00F5546D"/>
    <w:rsid w:val="00F55CAA"/>
    <w:rsid w:val="00F57D5A"/>
    <w:rsid w:val="00F610DD"/>
    <w:rsid w:val="00F6215F"/>
    <w:rsid w:val="00F643F8"/>
    <w:rsid w:val="00F6444A"/>
    <w:rsid w:val="00F6537E"/>
    <w:rsid w:val="00F65BD6"/>
    <w:rsid w:val="00F662C3"/>
    <w:rsid w:val="00F67211"/>
    <w:rsid w:val="00F729B6"/>
    <w:rsid w:val="00F72A42"/>
    <w:rsid w:val="00F72AE4"/>
    <w:rsid w:val="00F74EC2"/>
    <w:rsid w:val="00F76739"/>
    <w:rsid w:val="00F7681B"/>
    <w:rsid w:val="00F7711E"/>
    <w:rsid w:val="00F8003B"/>
    <w:rsid w:val="00F80D60"/>
    <w:rsid w:val="00F815C0"/>
    <w:rsid w:val="00F83164"/>
    <w:rsid w:val="00F84883"/>
    <w:rsid w:val="00F85635"/>
    <w:rsid w:val="00F90511"/>
    <w:rsid w:val="00F91AA2"/>
    <w:rsid w:val="00F91BD0"/>
    <w:rsid w:val="00F921A5"/>
    <w:rsid w:val="00F93F08"/>
    <w:rsid w:val="00F943C1"/>
    <w:rsid w:val="00F95C65"/>
    <w:rsid w:val="00FA13A2"/>
    <w:rsid w:val="00FA3743"/>
    <w:rsid w:val="00FA4489"/>
    <w:rsid w:val="00FA4508"/>
    <w:rsid w:val="00FA52F4"/>
    <w:rsid w:val="00FA69FE"/>
    <w:rsid w:val="00FB1680"/>
    <w:rsid w:val="00FB2B67"/>
    <w:rsid w:val="00FB45A0"/>
    <w:rsid w:val="00FB5A90"/>
    <w:rsid w:val="00FC2E71"/>
    <w:rsid w:val="00FC3F81"/>
    <w:rsid w:val="00FC5075"/>
    <w:rsid w:val="00FC5B17"/>
    <w:rsid w:val="00FC5C6E"/>
    <w:rsid w:val="00FC7216"/>
    <w:rsid w:val="00FC7ED0"/>
    <w:rsid w:val="00FD1005"/>
    <w:rsid w:val="00FD3324"/>
    <w:rsid w:val="00FD3481"/>
    <w:rsid w:val="00FD59EA"/>
    <w:rsid w:val="00FD5A07"/>
    <w:rsid w:val="00FD7515"/>
    <w:rsid w:val="00FE09F8"/>
    <w:rsid w:val="00FE1807"/>
    <w:rsid w:val="00FE2BE7"/>
    <w:rsid w:val="00FE36EA"/>
    <w:rsid w:val="00FE5AED"/>
    <w:rsid w:val="00FF299D"/>
    <w:rsid w:val="00FF638C"/>
    <w:rsid w:val="011533B8"/>
    <w:rsid w:val="0292A6C4"/>
    <w:rsid w:val="029DC66C"/>
    <w:rsid w:val="041D961F"/>
    <w:rsid w:val="042E7725"/>
    <w:rsid w:val="19FDC650"/>
    <w:rsid w:val="22632DE7"/>
    <w:rsid w:val="28E7E31B"/>
    <w:rsid w:val="2EE4291B"/>
    <w:rsid w:val="3EEE3085"/>
    <w:rsid w:val="4323EA48"/>
    <w:rsid w:val="4ACD1488"/>
    <w:rsid w:val="4DD12B92"/>
    <w:rsid w:val="5B5408C7"/>
    <w:rsid w:val="68D1F57C"/>
    <w:rsid w:val="6F388BE0"/>
    <w:rsid w:val="74F34B79"/>
    <w:rsid w:val="75A3F786"/>
    <w:rsid w:val="79D34523"/>
    <w:rsid w:val="7E791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B7AD"/>
  <w15:chartTrackingRefBased/>
  <w15:docId w15:val="{DCD5DF3D-EA73-4310-B694-56C96E98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0401"/>
    <w:pPr>
      <w:jc w:val="both"/>
    </w:pPr>
    <w:rPr>
      <w:rFonts w:ascii="Open Sans" w:hAnsi="Open Sans"/>
    </w:rPr>
  </w:style>
  <w:style w:type="paragraph" w:styleId="Nadpis1">
    <w:name w:val="heading 1"/>
    <w:basedOn w:val="Normln"/>
    <w:next w:val="Normln"/>
    <w:link w:val="Nadpis1Char"/>
    <w:uiPriority w:val="9"/>
    <w:qFormat/>
    <w:rsid w:val="00C00401"/>
    <w:pPr>
      <w:outlineLvl w:val="0"/>
    </w:pPr>
    <w:rPr>
      <w:b/>
      <w:bCs/>
      <w:sz w:val="32"/>
      <w:szCs w:val="32"/>
    </w:rPr>
  </w:style>
  <w:style w:type="paragraph" w:styleId="Nadpis2">
    <w:name w:val="heading 2"/>
    <w:basedOn w:val="Normln"/>
    <w:next w:val="Normln"/>
    <w:link w:val="Nadpis2Char"/>
    <w:uiPriority w:val="9"/>
    <w:semiHidden/>
    <w:unhideWhenUsed/>
    <w:qFormat/>
    <w:rsid w:val="00EC5D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7F25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A97EA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B40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404E"/>
  </w:style>
  <w:style w:type="paragraph" w:styleId="Zpat">
    <w:name w:val="footer"/>
    <w:basedOn w:val="Normln"/>
    <w:link w:val="ZpatChar"/>
    <w:uiPriority w:val="99"/>
    <w:unhideWhenUsed/>
    <w:rsid w:val="009B404E"/>
    <w:pPr>
      <w:tabs>
        <w:tab w:val="center" w:pos="4536"/>
        <w:tab w:val="right" w:pos="9072"/>
      </w:tabs>
      <w:spacing w:after="0" w:line="240" w:lineRule="auto"/>
    </w:pPr>
  </w:style>
  <w:style w:type="character" w:customStyle="1" w:styleId="ZpatChar">
    <w:name w:val="Zápatí Char"/>
    <w:basedOn w:val="Standardnpsmoodstavce"/>
    <w:link w:val="Zpat"/>
    <w:uiPriority w:val="99"/>
    <w:rsid w:val="009B404E"/>
  </w:style>
  <w:style w:type="character" w:customStyle="1" w:styleId="Nadpis1Char">
    <w:name w:val="Nadpis 1 Char"/>
    <w:basedOn w:val="Standardnpsmoodstavce"/>
    <w:link w:val="Nadpis1"/>
    <w:uiPriority w:val="9"/>
    <w:rsid w:val="00C00401"/>
    <w:rPr>
      <w:rFonts w:ascii="Open Sans" w:hAnsi="Open Sans"/>
      <w:b/>
      <w:bCs/>
      <w:sz w:val="32"/>
      <w:szCs w:val="32"/>
    </w:rPr>
  </w:style>
  <w:style w:type="character" w:styleId="Hypertextovodkaz">
    <w:name w:val="Hyperlink"/>
    <w:basedOn w:val="Standardnpsmoodstavce"/>
    <w:uiPriority w:val="99"/>
    <w:unhideWhenUsed/>
    <w:rsid w:val="00AC7B69"/>
    <w:rPr>
      <w:color w:val="0563C1" w:themeColor="hyperlink"/>
      <w:u w:val="single"/>
    </w:rPr>
  </w:style>
  <w:style w:type="character" w:styleId="Nevyeenzmnka">
    <w:name w:val="Unresolved Mention"/>
    <w:basedOn w:val="Standardnpsmoodstavce"/>
    <w:uiPriority w:val="99"/>
    <w:semiHidden/>
    <w:unhideWhenUsed/>
    <w:rsid w:val="00AC7B69"/>
    <w:rPr>
      <w:color w:val="605E5C"/>
      <w:shd w:val="clear" w:color="auto" w:fill="E1DFDD"/>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lnweb">
    <w:name w:val="Normal (Web)"/>
    <w:basedOn w:val="Normln"/>
    <w:uiPriority w:val="99"/>
    <w:semiHidden/>
    <w:unhideWhenUsed/>
    <w:rsid w:val="00C0040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Perex">
    <w:name w:val="Perex"/>
    <w:basedOn w:val="Normln"/>
    <w:qFormat/>
    <w:rsid w:val="00C00401"/>
    <w:rPr>
      <w:b/>
      <w:bCs/>
    </w:rPr>
  </w:style>
  <w:style w:type="paragraph" w:customStyle="1" w:styleId="Boilerplate">
    <w:name w:val="Boiler plate"/>
    <w:basedOn w:val="Normln"/>
    <w:qFormat/>
    <w:rsid w:val="00C00401"/>
    <w:rPr>
      <w:i/>
      <w:iCs/>
      <w:sz w:val="20"/>
      <w:szCs w:val="20"/>
    </w:rPr>
  </w:style>
  <w:style w:type="paragraph" w:customStyle="1" w:styleId="Zahlavi">
    <w:name w:val="Zahlavi"/>
    <w:basedOn w:val="Zhlav"/>
    <w:qFormat/>
    <w:rsid w:val="00C00401"/>
    <w:rPr>
      <w:noProof/>
      <w:sz w:val="30"/>
      <w:szCs w:val="30"/>
    </w:rPr>
  </w:style>
  <w:style w:type="paragraph" w:customStyle="1" w:styleId="Citace">
    <w:name w:val="Citace"/>
    <w:basedOn w:val="Normln"/>
    <w:qFormat/>
    <w:rsid w:val="001E6AB9"/>
    <w:rPr>
      <w:i/>
      <w:iCs/>
    </w:rPr>
  </w:style>
  <w:style w:type="paragraph" w:styleId="Revize">
    <w:name w:val="Revision"/>
    <w:hidden/>
    <w:uiPriority w:val="99"/>
    <w:semiHidden/>
    <w:rsid w:val="00136991"/>
    <w:pPr>
      <w:spacing w:after="0" w:line="240" w:lineRule="auto"/>
    </w:pPr>
    <w:rPr>
      <w:rFonts w:ascii="Open Sans" w:hAnsi="Open Sans"/>
    </w:rPr>
  </w:style>
  <w:style w:type="character" w:styleId="Odkaznakoment">
    <w:name w:val="annotation reference"/>
    <w:basedOn w:val="Standardnpsmoodstavce"/>
    <w:uiPriority w:val="99"/>
    <w:semiHidden/>
    <w:unhideWhenUsed/>
    <w:rsid w:val="00FB2B67"/>
    <w:rPr>
      <w:sz w:val="16"/>
      <w:szCs w:val="16"/>
    </w:rPr>
  </w:style>
  <w:style w:type="paragraph" w:styleId="Textkomente">
    <w:name w:val="annotation text"/>
    <w:basedOn w:val="Normln"/>
    <w:link w:val="TextkomenteChar"/>
    <w:uiPriority w:val="99"/>
    <w:semiHidden/>
    <w:unhideWhenUsed/>
    <w:rsid w:val="00FB2B67"/>
    <w:pPr>
      <w:spacing w:line="240" w:lineRule="auto"/>
    </w:pPr>
    <w:rPr>
      <w:sz w:val="20"/>
      <w:szCs w:val="20"/>
    </w:rPr>
  </w:style>
  <w:style w:type="character" w:customStyle="1" w:styleId="TextkomenteChar">
    <w:name w:val="Text komentáře Char"/>
    <w:basedOn w:val="Standardnpsmoodstavce"/>
    <w:link w:val="Textkomente"/>
    <w:uiPriority w:val="99"/>
    <w:semiHidden/>
    <w:rsid w:val="00FB2B67"/>
    <w:rPr>
      <w:rFonts w:ascii="Open Sans" w:hAnsi="Open Sans"/>
      <w:sz w:val="20"/>
      <w:szCs w:val="20"/>
    </w:rPr>
  </w:style>
  <w:style w:type="paragraph" w:styleId="Pedmtkomente">
    <w:name w:val="annotation subject"/>
    <w:basedOn w:val="Textkomente"/>
    <w:next w:val="Textkomente"/>
    <w:link w:val="PedmtkomenteChar"/>
    <w:uiPriority w:val="99"/>
    <w:semiHidden/>
    <w:unhideWhenUsed/>
    <w:rsid w:val="00FB2B67"/>
    <w:rPr>
      <w:b/>
      <w:bCs/>
    </w:rPr>
  </w:style>
  <w:style w:type="character" w:customStyle="1" w:styleId="PedmtkomenteChar">
    <w:name w:val="Předmět komentáře Char"/>
    <w:basedOn w:val="TextkomenteChar"/>
    <w:link w:val="Pedmtkomente"/>
    <w:uiPriority w:val="99"/>
    <w:semiHidden/>
    <w:rsid w:val="00FB2B67"/>
    <w:rPr>
      <w:rFonts w:ascii="Open Sans" w:hAnsi="Open Sans"/>
      <w:b/>
      <w:bCs/>
      <w:sz w:val="20"/>
      <w:szCs w:val="20"/>
    </w:rPr>
  </w:style>
  <w:style w:type="character" w:styleId="Zdraznn">
    <w:name w:val="Emphasis"/>
    <w:basedOn w:val="Standardnpsmoodstavce"/>
    <w:uiPriority w:val="20"/>
    <w:qFormat/>
    <w:rsid w:val="00010B20"/>
    <w:rPr>
      <w:i/>
      <w:iCs/>
    </w:rPr>
  </w:style>
  <w:style w:type="paragraph" w:styleId="Odstavecseseznamem">
    <w:name w:val="List Paragraph"/>
    <w:basedOn w:val="Normln"/>
    <w:uiPriority w:val="34"/>
    <w:qFormat/>
    <w:rsid w:val="00C6449E"/>
    <w:pPr>
      <w:ind w:left="720"/>
      <w:contextualSpacing/>
    </w:pPr>
  </w:style>
  <w:style w:type="character" w:customStyle="1" w:styleId="Nadpis2Char">
    <w:name w:val="Nadpis 2 Char"/>
    <w:basedOn w:val="Standardnpsmoodstavce"/>
    <w:link w:val="Nadpis2"/>
    <w:uiPriority w:val="9"/>
    <w:semiHidden/>
    <w:rsid w:val="00EC5DE0"/>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7F2559"/>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A97EA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1649">
      <w:bodyDiv w:val="1"/>
      <w:marLeft w:val="0"/>
      <w:marRight w:val="0"/>
      <w:marTop w:val="0"/>
      <w:marBottom w:val="0"/>
      <w:divBdr>
        <w:top w:val="none" w:sz="0" w:space="0" w:color="auto"/>
        <w:left w:val="none" w:sz="0" w:space="0" w:color="auto"/>
        <w:bottom w:val="none" w:sz="0" w:space="0" w:color="auto"/>
        <w:right w:val="none" w:sz="0" w:space="0" w:color="auto"/>
      </w:divBdr>
    </w:div>
    <w:div w:id="23528881">
      <w:bodyDiv w:val="1"/>
      <w:marLeft w:val="0"/>
      <w:marRight w:val="0"/>
      <w:marTop w:val="0"/>
      <w:marBottom w:val="0"/>
      <w:divBdr>
        <w:top w:val="none" w:sz="0" w:space="0" w:color="auto"/>
        <w:left w:val="none" w:sz="0" w:space="0" w:color="auto"/>
        <w:bottom w:val="none" w:sz="0" w:space="0" w:color="auto"/>
        <w:right w:val="none" w:sz="0" w:space="0" w:color="auto"/>
      </w:divBdr>
    </w:div>
    <w:div w:id="87235945">
      <w:bodyDiv w:val="1"/>
      <w:marLeft w:val="0"/>
      <w:marRight w:val="0"/>
      <w:marTop w:val="0"/>
      <w:marBottom w:val="0"/>
      <w:divBdr>
        <w:top w:val="none" w:sz="0" w:space="0" w:color="auto"/>
        <w:left w:val="none" w:sz="0" w:space="0" w:color="auto"/>
        <w:bottom w:val="none" w:sz="0" w:space="0" w:color="auto"/>
        <w:right w:val="none" w:sz="0" w:space="0" w:color="auto"/>
      </w:divBdr>
    </w:div>
    <w:div w:id="108864487">
      <w:bodyDiv w:val="1"/>
      <w:marLeft w:val="0"/>
      <w:marRight w:val="0"/>
      <w:marTop w:val="0"/>
      <w:marBottom w:val="0"/>
      <w:divBdr>
        <w:top w:val="none" w:sz="0" w:space="0" w:color="auto"/>
        <w:left w:val="none" w:sz="0" w:space="0" w:color="auto"/>
        <w:bottom w:val="none" w:sz="0" w:space="0" w:color="auto"/>
        <w:right w:val="none" w:sz="0" w:space="0" w:color="auto"/>
      </w:divBdr>
    </w:div>
    <w:div w:id="119302646">
      <w:bodyDiv w:val="1"/>
      <w:marLeft w:val="0"/>
      <w:marRight w:val="0"/>
      <w:marTop w:val="0"/>
      <w:marBottom w:val="0"/>
      <w:divBdr>
        <w:top w:val="none" w:sz="0" w:space="0" w:color="auto"/>
        <w:left w:val="none" w:sz="0" w:space="0" w:color="auto"/>
        <w:bottom w:val="none" w:sz="0" w:space="0" w:color="auto"/>
        <w:right w:val="none" w:sz="0" w:space="0" w:color="auto"/>
      </w:divBdr>
    </w:div>
    <w:div w:id="135728958">
      <w:bodyDiv w:val="1"/>
      <w:marLeft w:val="0"/>
      <w:marRight w:val="0"/>
      <w:marTop w:val="0"/>
      <w:marBottom w:val="0"/>
      <w:divBdr>
        <w:top w:val="none" w:sz="0" w:space="0" w:color="auto"/>
        <w:left w:val="none" w:sz="0" w:space="0" w:color="auto"/>
        <w:bottom w:val="none" w:sz="0" w:space="0" w:color="auto"/>
        <w:right w:val="none" w:sz="0" w:space="0" w:color="auto"/>
      </w:divBdr>
    </w:div>
    <w:div w:id="220021851">
      <w:bodyDiv w:val="1"/>
      <w:marLeft w:val="0"/>
      <w:marRight w:val="0"/>
      <w:marTop w:val="0"/>
      <w:marBottom w:val="0"/>
      <w:divBdr>
        <w:top w:val="none" w:sz="0" w:space="0" w:color="auto"/>
        <w:left w:val="none" w:sz="0" w:space="0" w:color="auto"/>
        <w:bottom w:val="none" w:sz="0" w:space="0" w:color="auto"/>
        <w:right w:val="none" w:sz="0" w:space="0" w:color="auto"/>
      </w:divBdr>
    </w:div>
    <w:div w:id="248462647">
      <w:bodyDiv w:val="1"/>
      <w:marLeft w:val="0"/>
      <w:marRight w:val="0"/>
      <w:marTop w:val="0"/>
      <w:marBottom w:val="0"/>
      <w:divBdr>
        <w:top w:val="none" w:sz="0" w:space="0" w:color="auto"/>
        <w:left w:val="none" w:sz="0" w:space="0" w:color="auto"/>
        <w:bottom w:val="none" w:sz="0" w:space="0" w:color="auto"/>
        <w:right w:val="none" w:sz="0" w:space="0" w:color="auto"/>
      </w:divBdr>
    </w:div>
    <w:div w:id="257521828">
      <w:bodyDiv w:val="1"/>
      <w:marLeft w:val="0"/>
      <w:marRight w:val="0"/>
      <w:marTop w:val="0"/>
      <w:marBottom w:val="0"/>
      <w:divBdr>
        <w:top w:val="none" w:sz="0" w:space="0" w:color="auto"/>
        <w:left w:val="none" w:sz="0" w:space="0" w:color="auto"/>
        <w:bottom w:val="none" w:sz="0" w:space="0" w:color="auto"/>
        <w:right w:val="none" w:sz="0" w:space="0" w:color="auto"/>
      </w:divBdr>
    </w:div>
    <w:div w:id="263999755">
      <w:bodyDiv w:val="1"/>
      <w:marLeft w:val="0"/>
      <w:marRight w:val="0"/>
      <w:marTop w:val="0"/>
      <w:marBottom w:val="0"/>
      <w:divBdr>
        <w:top w:val="none" w:sz="0" w:space="0" w:color="auto"/>
        <w:left w:val="none" w:sz="0" w:space="0" w:color="auto"/>
        <w:bottom w:val="none" w:sz="0" w:space="0" w:color="auto"/>
        <w:right w:val="none" w:sz="0" w:space="0" w:color="auto"/>
      </w:divBdr>
    </w:div>
    <w:div w:id="305479535">
      <w:bodyDiv w:val="1"/>
      <w:marLeft w:val="0"/>
      <w:marRight w:val="0"/>
      <w:marTop w:val="0"/>
      <w:marBottom w:val="0"/>
      <w:divBdr>
        <w:top w:val="none" w:sz="0" w:space="0" w:color="auto"/>
        <w:left w:val="none" w:sz="0" w:space="0" w:color="auto"/>
        <w:bottom w:val="none" w:sz="0" w:space="0" w:color="auto"/>
        <w:right w:val="none" w:sz="0" w:space="0" w:color="auto"/>
      </w:divBdr>
    </w:div>
    <w:div w:id="374736335">
      <w:bodyDiv w:val="1"/>
      <w:marLeft w:val="0"/>
      <w:marRight w:val="0"/>
      <w:marTop w:val="0"/>
      <w:marBottom w:val="0"/>
      <w:divBdr>
        <w:top w:val="none" w:sz="0" w:space="0" w:color="auto"/>
        <w:left w:val="none" w:sz="0" w:space="0" w:color="auto"/>
        <w:bottom w:val="none" w:sz="0" w:space="0" w:color="auto"/>
        <w:right w:val="none" w:sz="0" w:space="0" w:color="auto"/>
      </w:divBdr>
    </w:div>
    <w:div w:id="390349733">
      <w:bodyDiv w:val="1"/>
      <w:marLeft w:val="0"/>
      <w:marRight w:val="0"/>
      <w:marTop w:val="0"/>
      <w:marBottom w:val="0"/>
      <w:divBdr>
        <w:top w:val="none" w:sz="0" w:space="0" w:color="auto"/>
        <w:left w:val="none" w:sz="0" w:space="0" w:color="auto"/>
        <w:bottom w:val="none" w:sz="0" w:space="0" w:color="auto"/>
        <w:right w:val="none" w:sz="0" w:space="0" w:color="auto"/>
      </w:divBdr>
    </w:div>
    <w:div w:id="400298302">
      <w:bodyDiv w:val="1"/>
      <w:marLeft w:val="0"/>
      <w:marRight w:val="0"/>
      <w:marTop w:val="0"/>
      <w:marBottom w:val="0"/>
      <w:divBdr>
        <w:top w:val="none" w:sz="0" w:space="0" w:color="auto"/>
        <w:left w:val="none" w:sz="0" w:space="0" w:color="auto"/>
        <w:bottom w:val="none" w:sz="0" w:space="0" w:color="auto"/>
        <w:right w:val="none" w:sz="0" w:space="0" w:color="auto"/>
      </w:divBdr>
    </w:div>
    <w:div w:id="402341633">
      <w:bodyDiv w:val="1"/>
      <w:marLeft w:val="0"/>
      <w:marRight w:val="0"/>
      <w:marTop w:val="0"/>
      <w:marBottom w:val="0"/>
      <w:divBdr>
        <w:top w:val="none" w:sz="0" w:space="0" w:color="auto"/>
        <w:left w:val="none" w:sz="0" w:space="0" w:color="auto"/>
        <w:bottom w:val="none" w:sz="0" w:space="0" w:color="auto"/>
        <w:right w:val="none" w:sz="0" w:space="0" w:color="auto"/>
      </w:divBdr>
    </w:div>
    <w:div w:id="437259602">
      <w:bodyDiv w:val="1"/>
      <w:marLeft w:val="0"/>
      <w:marRight w:val="0"/>
      <w:marTop w:val="0"/>
      <w:marBottom w:val="0"/>
      <w:divBdr>
        <w:top w:val="none" w:sz="0" w:space="0" w:color="auto"/>
        <w:left w:val="none" w:sz="0" w:space="0" w:color="auto"/>
        <w:bottom w:val="none" w:sz="0" w:space="0" w:color="auto"/>
        <w:right w:val="none" w:sz="0" w:space="0" w:color="auto"/>
      </w:divBdr>
    </w:div>
    <w:div w:id="455680593">
      <w:bodyDiv w:val="1"/>
      <w:marLeft w:val="0"/>
      <w:marRight w:val="0"/>
      <w:marTop w:val="0"/>
      <w:marBottom w:val="0"/>
      <w:divBdr>
        <w:top w:val="none" w:sz="0" w:space="0" w:color="auto"/>
        <w:left w:val="none" w:sz="0" w:space="0" w:color="auto"/>
        <w:bottom w:val="none" w:sz="0" w:space="0" w:color="auto"/>
        <w:right w:val="none" w:sz="0" w:space="0" w:color="auto"/>
      </w:divBdr>
      <w:divsChild>
        <w:div w:id="210852624">
          <w:marLeft w:val="0"/>
          <w:marRight w:val="0"/>
          <w:marTop w:val="0"/>
          <w:marBottom w:val="0"/>
          <w:divBdr>
            <w:top w:val="none" w:sz="0" w:space="0" w:color="auto"/>
            <w:left w:val="none" w:sz="0" w:space="0" w:color="auto"/>
            <w:bottom w:val="none" w:sz="0" w:space="0" w:color="auto"/>
            <w:right w:val="none" w:sz="0" w:space="0" w:color="auto"/>
          </w:divBdr>
        </w:div>
        <w:div w:id="96752556">
          <w:marLeft w:val="0"/>
          <w:marRight w:val="0"/>
          <w:marTop w:val="0"/>
          <w:marBottom w:val="0"/>
          <w:divBdr>
            <w:top w:val="none" w:sz="0" w:space="0" w:color="auto"/>
            <w:left w:val="none" w:sz="0" w:space="0" w:color="auto"/>
            <w:bottom w:val="none" w:sz="0" w:space="0" w:color="auto"/>
            <w:right w:val="none" w:sz="0" w:space="0" w:color="auto"/>
          </w:divBdr>
          <w:divsChild>
            <w:div w:id="113453512">
              <w:marLeft w:val="0"/>
              <w:marRight w:val="0"/>
              <w:marTop w:val="0"/>
              <w:marBottom w:val="0"/>
              <w:divBdr>
                <w:top w:val="none" w:sz="0" w:space="0" w:color="auto"/>
                <w:left w:val="none" w:sz="0" w:space="0" w:color="auto"/>
                <w:bottom w:val="none" w:sz="0" w:space="0" w:color="auto"/>
                <w:right w:val="none" w:sz="0" w:space="0" w:color="auto"/>
              </w:divBdr>
            </w:div>
            <w:div w:id="1711219438">
              <w:marLeft w:val="0"/>
              <w:marRight w:val="0"/>
              <w:marTop w:val="0"/>
              <w:marBottom w:val="0"/>
              <w:divBdr>
                <w:top w:val="none" w:sz="0" w:space="0" w:color="auto"/>
                <w:left w:val="none" w:sz="0" w:space="0" w:color="auto"/>
                <w:bottom w:val="none" w:sz="0" w:space="0" w:color="auto"/>
                <w:right w:val="none" w:sz="0" w:space="0" w:color="auto"/>
              </w:divBdr>
            </w:div>
            <w:div w:id="242186839">
              <w:marLeft w:val="0"/>
              <w:marRight w:val="0"/>
              <w:marTop w:val="0"/>
              <w:marBottom w:val="0"/>
              <w:divBdr>
                <w:top w:val="none" w:sz="0" w:space="0" w:color="auto"/>
                <w:left w:val="none" w:sz="0" w:space="0" w:color="auto"/>
                <w:bottom w:val="none" w:sz="0" w:space="0" w:color="auto"/>
                <w:right w:val="none" w:sz="0" w:space="0" w:color="auto"/>
              </w:divBdr>
            </w:div>
            <w:div w:id="188375922">
              <w:marLeft w:val="0"/>
              <w:marRight w:val="0"/>
              <w:marTop w:val="0"/>
              <w:marBottom w:val="0"/>
              <w:divBdr>
                <w:top w:val="none" w:sz="0" w:space="0" w:color="auto"/>
                <w:left w:val="none" w:sz="0" w:space="0" w:color="auto"/>
                <w:bottom w:val="none" w:sz="0" w:space="0" w:color="auto"/>
                <w:right w:val="none" w:sz="0" w:space="0" w:color="auto"/>
              </w:divBdr>
            </w:div>
            <w:div w:id="534776210">
              <w:marLeft w:val="0"/>
              <w:marRight w:val="0"/>
              <w:marTop w:val="0"/>
              <w:marBottom w:val="0"/>
              <w:divBdr>
                <w:top w:val="none" w:sz="0" w:space="0" w:color="auto"/>
                <w:left w:val="none" w:sz="0" w:space="0" w:color="auto"/>
                <w:bottom w:val="none" w:sz="0" w:space="0" w:color="auto"/>
                <w:right w:val="none" w:sz="0" w:space="0" w:color="auto"/>
              </w:divBdr>
            </w:div>
            <w:div w:id="558177651">
              <w:marLeft w:val="0"/>
              <w:marRight w:val="0"/>
              <w:marTop w:val="0"/>
              <w:marBottom w:val="0"/>
              <w:divBdr>
                <w:top w:val="none" w:sz="0" w:space="0" w:color="auto"/>
                <w:left w:val="none" w:sz="0" w:space="0" w:color="auto"/>
                <w:bottom w:val="none" w:sz="0" w:space="0" w:color="auto"/>
                <w:right w:val="none" w:sz="0" w:space="0" w:color="auto"/>
              </w:divBdr>
            </w:div>
            <w:div w:id="773548947">
              <w:marLeft w:val="0"/>
              <w:marRight w:val="0"/>
              <w:marTop w:val="0"/>
              <w:marBottom w:val="0"/>
              <w:divBdr>
                <w:top w:val="none" w:sz="0" w:space="0" w:color="auto"/>
                <w:left w:val="none" w:sz="0" w:space="0" w:color="auto"/>
                <w:bottom w:val="none" w:sz="0" w:space="0" w:color="auto"/>
                <w:right w:val="none" w:sz="0" w:space="0" w:color="auto"/>
              </w:divBdr>
              <w:divsChild>
                <w:div w:id="1973291266">
                  <w:marLeft w:val="0"/>
                  <w:marRight w:val="0"/>
                  <w:marTop w:val="0"/>
                  <w:marBottom w:val="0"/>
                  <w:divBdr>
                    <w:top w:val="none" w:sz="0" w:space="0" w:color="auto"/>
                    <w:left w:val="none" w:sz="0" w:space="0" w:color="auto"/>
                    <w:bottom w:val="none" w:sz="0" w:space="0" w:color="auto"/>
                    <w:right w:val="none" w:sz="0" w:space="0" w:color="auto"/>
                  </w:divBdr>
                  <w:divsChild>
                    <w:div w:id="11966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91118">
      <w:bodyDiv w:val="1"/>
      <w:marLeft w:val="0"/>
      <w:marRight w:val="0"/>
      <w:marTop w:val="0"/>
      <w:marBottom w:val="0"/>
      <w:divBdr>
        <w:top w:val="none" w:sz="0" w:space="0" w:color="auto"/>
        <w:left w:val="none" w:sz="0" w:space="0" w:color="auto"/>
        <w:bottom w:val="none" w:sz="0" w:space="0" w:color="auto"/>
        <w:right w:val="none" w:sz="0" w:space="0" w:color="auto"/>
      </w:divBdr>
    </w:div>
    <w:div w:id="569577670">
      <w:bodyDiv w:val="1"/>
      <w:marLeft w:val="0"/>
      <w:marRight w:val="0"/>
      <w:marTop w:val="0"/>
      <w:marBottom w:val="0"/>
      <w:divBdr>
        <w:top w:val="none" w:sz="0" w:space="0" w:color="auto"/>
        <w:left w:val="none" w:sz="0" w:space="0" w:color="auto"/>
        <w:bottom w:val="none" w:sz="0" w:space="0" w:color="auto"/>
        <w:right w:val="none" w:sz="0" w:space="0" w:color="auto"/>
      </w:divBdr>
    </w:div>
    <w:div w:id="620382163">
      <w:bodyDiv w:val="1"/>
      <w:marLeft w:val="0"/>
      <w:marRight w:val="0"/>
      <w:marTop w:val="0"/>
      <w:marBottom w:val="0"/>
      <w:divBdr>
        <w:top w:val="none" w:sz="0" w:space="0" w:color="auto"/>
        <w:left w:val="none" w:sz="0" w:space="0" w:color="auto"/>
        <w:bottom w:val="none" w:sz="0" w:space="0" w:color="auto"/>
        <w:right w:val="none" w:sz="0" w:space="0" w:color="auto"/>
      </w:divBdr>
    </w:div>
    <w:div w:id="633099179">
      <w:bodyDiv w:val="1"/>
      <w:marLeft w:val="0"/>
      <w:marRight w:val="0"/>
      <w:marTop w:val="0"/>
      <w:marBottom w:val="0"/>
      <w:divBdr>
        <w:top w:val="none" w:sz="0" w:space="0" w:color="auto"/>
        <w:left w:val="none" w:sz="0" w:space="0" w:color="auto"/>
        <w:bottom w:val="none" w:sz="0" w:space="0" w:color="auto"/>
        <w:right w:val="none" w:sz="0" w:space="0" w:color="auto"/>
      </w:divBdr>
      <w:divsChild>
        <w:div w:id="83234551">
          <w:marLeft w:val="0"/>
          <w:marRight w:val="0"/>
          <w:marTop w:val="0"/>
          <w:marBottom w:val="0"/>
          <w:divBdr>
            <w:top w:val="none" w:sz="0" w:space="0" w:color="auto"/>
            <w:left w:val="none" w:sz="0" w:space="0" w:color="auto"/>
            <w:bottom w:val="none" w:sz="0" w:space="0" w:color="auto"/>
            <w:right w:val="none" w:sz="0" w:space="0" w:color="auto"/>
          </w:divBdr>
        </w:div>
      </w:divsChild>
    </w:div>
    <w:div w:id="641083656">
      <w:bodyDiv w:val="1"/>
      <w:marLeft w:val="0"/>
      <w:marRight w:val="0"/>
      <w:marTop w:val="0"/>
      <w:marBottom w:val="0"/>
      <w:divBdr>
        <w:top w:val="none" w:sz="0" w:space="0" w:color="auto"/>
        <w:left w:val="none" w:sz="0" w:space="0" w:color="auto"/>
        <w:bottom w:val="none" w:sz="0" w:space="0" w:color="auto"/>
        <w:right w:val="none" w:sz="0" w:space="0" w:color="auto"/>
      </w:divBdr>
    </w:div>
    <w:div w:id="643969205">
      <w:bodyDiv w:val="1"/>
      <w:marLeft w:val="0"/>
      <w:marRight w:val="0"/>
      <w:marTop w:val="0"/>
      <w:marBottom w:val="0"/>
      <w:divBdr>
        <w:top w:val="none" w:sz="0" w:space="0" w:color="auto"/>
        <w:left w:val="none" w:sz="0" w:space="0" w:color="auto"/>
        <w:bottom w:val="none" w:sz="0" w:space="0" w:color="auto"/>
        <w:right w:val="none" w:sz="0" w:space="0" w:color="auto"/>
      </w:divBdr>
    </w:div>
    <w:div w:id="657733527">
      <w:bodyDiv w:val="1"/>
      <w:marLeft w:val="0"/>
      <w:marRight w:val="0"/>
      <w:marTop w:val="0"/>
      <w:marBottom w:val="0"/>
      <w:divBdr>
        <w:top w:val="none" w:sz="0" w:space="0" w:color="auto"/>
        <w:left w:val="none" w:sz="0" w:space="0" w:color="auto"/>
        <w:bottom w:val="none" w:sz="0" w:space="0" w:color="auto"/>
        <w:right w:val="none" w:sz="0" w:space="0" w:color="auto"/>
      </w:divBdr>
    </w:div>
    <w:div w:id="712265980">
      <w:bodyDiv w:val="1"/>
      <w:marLeft w:val="0"/>
      <w:marRight w:val="0"/>
      <w:marTop w:val="0"/>
      <w:marBottom w:val="0"/>
      <w:divBdr>
        <w:top w:val="none" w:sz="0" w:space="0" w:color="auto"/>
        <w:left w:val="none" w:sz="0" w:space="0" w:color="auto"/>
        <w:bottom w:val="none" w:sz="0" w:space="0" w:color="auto"/>
        <w:right w:val="none" w:sz="0" w:space="0" w:color="auto"/>
      </w:divBdr>
    </w:div>
    <w:div w:id="757100873">
      <w:bodyDiv w:val="1"/>
      <w:marLeft w:val="0"/>
      <w:marRight w:val="0"/>
      <w:marTop w:val="0"/>
      <w:marBottom w:val="0"/>
      <w:divBdr>
        <w:top w:val="none" w:sz="0" w:space="0" w:color="auto"/>
        <w:left w:val="none" w:sz="0" w:space="0" w:color="auto"/>
        <w:bottom w:val="none" w:sz="0" w:space="0" w:color="auto"/>
        <w:right w:val="none" w:sz="0" w:space="0" w:color="auto"/>
      </w:divBdr>
    </w:div>
    <w:div w:id="786391394">
      <w:bodyDiv w:val="1"/>
      <w:marLeft w:val="0"/>
      <w:marRight w:val="0"/>
      <w:marTop w:val="0"/>
      <w:marBottom w:val="0"/>
      <w:divBdr>
        <w:top w:val="none" w:sz="0" w:space="0" w:color="auto"/>
        <w:left w:val="none" w:sz="0" w:space="0" w:color="auto"/>
        <w:bottom w:val="none" w:sz="0" w:space="0" w:color="auto"/>
        <w:right w:val="none" w:sz="0" w:space="0" w:color="auto"/>
      </w:divBdr>
    </w:div>
    <w:div w:id="791366522">
      <w:bodyDiv w:val="1"/>
      <w:marLeft w:val="0"/>
      <w:marRight w:val="0"/>
      <w:marTop w:val="0"/>
      <w:marBottom w:val="0"/>
      <w:divBdr>
        <w:top w:val="none" w:sz="0" w:space="0" w:color="auto"/>
        <w:left w:val="none" w:sz="0" w:space="0" w:color="auto"/>
        <w:bottom w:val="none" w:sz="0" w:space="0" w:color="auto"/>
        <w:right w:val="none" w:sz="0" w:space="0" w:color="auto"/>
      </w:divBdr>
    </w:div>
    <w:div w:id="797603939">
      <w:bodyDiv w:val="1"/>
      <w:marLeft w:val="0"/>
      <w:marRight w:val="0"/>
      <w:marTop w:val="0"/>
      <w:marBottom w:val="0"/>
      <w:divBdr>
        <w:top w:val="none" w:sz="0" w:space="0" w:color="auto"/>
        <w:left w:val="none" w:sz="0" w:space="0" w:color="auto"/>
        <w:bottom w:val="none" w:sz="0" w:space="0" w:color="auto"/>
        <w:right w:val="none" w:sz="0" w:space="0" w:color="auto"/>
      </w:divBdr>
    </w:div>
    <w:div w:id="806092958">
      <w:bodyDiv w:val="1"/>
      <w:marLeft w:val="0"/>
      <w:marRight w:val="0"/>
      <w:marTop w:val="0"/>
      <w:marBottom w:val="0"/>
      <w:divBdr>
        <w:top w:val="none" w:sz="0" w:space="0" w:color="auto"/>
        <w:left w:val="none" w:sz="0" w:space="0" w:color="auto"/>
        <w:bottom w:val="none" w:sz="0" w:space="0" w:color="auto"/>
        <w:right w:val="none" w:sz="0" w:space="0" w:color="auto"/>
      </w:divBdr>
    </w:div>
    <w:div w:id="879512380">
      <w:bodyDiv w:val="1"/>
      <w:marLeft w:val="0"/>
      <w:marRight w:val="0"/>
      <w:marTop w:val="0"/>
      <w:marBottom w:val="0"/>
      <w:divBdr>
        <w:top w:val="none" w:sz="0" w:space="0" w:color="auto"/>
        <w:left w:val="none" w:sz="0" w:space="0" w:color="auto"/>
        <w:bottom w:val="none" w:sz="0" w:space="0" w:color="auto"/>
        <w:right w:val="none" w:sz="0" w:space="0" w:color="auto"/>
      </w:divBdr>
    </w:div>
    <w:div w:id="884558106">
      <w:bodyDiv w:val="1"/>
      <w:marLeft w:val="0"/>
      <w:marRight w:val="0"/>
      <w:marTop w:val="0"/>
      <w:marBottom w:val="0"/>
      <w:divBdr>
        <w:top w:val="none" w:sz="0" w:space="0" w:color="auto"/>
        <w:left w:val="none" w:sz="0" w:space="0" w:color="auto"/>
        <w:bottom w:val="none" w:sz="0" w:space="0" w:color="auto"/>
        <w:right w:val="none" w:sz="0" w:space="0" w:color="auto"/>
      </w:divBdr>
    </w:div>
    <w:div w:id="907574236">
      <w:bodyDiv w:val="1"/>
      <w:marLeft w:val="0"/>
      <w:marRight w:val="0"/>
      <w:marTop w:val="0"/>
      <w:marBottom w:val="0"/>
      <w:divBdr>
        <w:top w:val="none" w:sz="0" w:space="0" w:color="auto"/>
        <w:left w:val="none" w:sz="0" w:space="0" w:color="auto"/>
        <w:bottom w:val="none" w:sz="0" w:space="0" w:color="auto"/>
        <w:right w:val="none" w:sz="0" w:space="0" w:color="auto"/>
      </w:divBdr>
    </w:div>
    <w:div w:id="913976184">
      <w:bodyDiv w:val="1"/>
      <w:marLeft w:val="0"/>
      <w:marRight w:val="0"/>
      <w:marTop w:val="0"/>
      <w:marBottom w:val="0"/>
      <w:divBdr>
        <w:top w:val="none" w:sz="0" w:space="0" w:color="auto"/>
        <w:left w:val="none" w:sz="0" w:space="0" w:color="auto"/>
        <w:bottom w:val="none" w:sz="0" w:space="0" w:color="auto"/>
        <w:right w:val="none" w:sz="0" w:space="0" w:color="auto"/>
      </w:divBdr>
    </w:div>
    <w:div w:id="962930125">
      <w:bodyDiv w:val="1"/>
      <w:marLeft w:val="0"/>
      <w:marRight w:val="0"/>
      <w:marTop w:val="0"/>
      <w:marBottom w:val="0"/>
      <w:divBdr>
        <w:top w:val="none" w:sz="0" w:space="0" w:color="auto"/>
        <w:left w:val="none" w:sz="0" w:space="0" w:color="auto"/>
        <w:bottom w:val="none" w:sz="0" w:space="0" w:color="auto"/>
        <w:right w:val="none" w:sz="0" w:space="0" w:color="auto"/>
      </w:divBdr>
    </w:div>
    <w:div w:id="975767079">
      <w:bodyDiv w:val="1"/>
      <w:marLeft w:val="0"/>
      <w:marRight w:val="0"/>
      <w:marTop w:val="0"/>
      <w:marBottom w:val="0"/>
      <w:divBdr>
        <w:top w:val="none" w:sz="0" w:space="0" w:color="auto"/>
        <w:left w:val="none" w:sz="0" w:space="0" w:color="auto"/>
        <w:bottom w:val="none" w:sz="0" w:space="0" w:color="auto"/>
        <w:right w:val="none" w:sz="0" w:space="0" w:color="auto"/>
      </w:divBdr>
    </w:div>
    <w:div w:id="998535059">
      <w:bodyDiv w:val="1"/>
      <w:marLeft w:val="0"/>
      <w:marRight w:val="0"/>
      <w:marTop w:val="0"/>
      <w:marBottom w:val="0"/>
      <w:divBdr>
        <w:top w:val="none" w:sz="0" w:space="0" w:color="auto"/>
        <w:left w:val="none" w:sz="0" w:space="0" w:color="auto"/>
        <w:bottom w:val="none" w:sz="0" w:space="0" w:color="auto"/>
        <w:right w:val="none" w:sz="0" w:space="0" w:color="auto"/>
      </w:divBdr>
    </w:div>
    <w:div w:id="1005210860">
      <w:bodyDiv w:val="1"/>
      <w:marLeft w:val="0"/>
      <w:marRight w:val="0"/>
      <w:marTop w:val="0"/>
      <w:marBottom w:val="0"/>
      <w:divBdr>
        <w:top w:val="none" w:sz="0" w:space="0" w:color="auto"/>
        <w:left w:val="none" w:sz="0" w:space="0" w:color="auto"/>
        <w:bottom w:val="none" w:sz="0" w:space="0" w:color="auto"/>
        <w:right w:val="none" w:sz="0" w:space="0" w:color="auto"/>
      </w:divBdr>
    </w:div>
    <w:div w:id="1065837815">
      <w:bodyDiv w:val="1"/>
      <w:marLeft w:val="0"/>
      <w:marRight w:val="0"/>
      <w:marTop w:val="0"/>
      <w:marBottom w:val="0"/>
      <w:divBdr>
        <w:top w:val="none" w:sz="0" w:space="0" w:color="auto"/>
        <w:left w:val="none" w:sz="0" w:space="0" w:color="auto"/>
        <w:bottom w:val="none" w:sz="0" w:space="0" w:color="auto"/>
        <w:right w:val="none" w:sz="0" w:space="0" w:color="auto"/>
      </w:divBdr>
    </w:div>
    <w:div w:id="1102457672">
      <w:bodyDiv w:val="1"/>
      <w:marLeft w:val="0"/>
      <w:marRight w:val="0"/>
      <w:marTop w:val="0"/>
      <w:marBottom w:val="0"/>
      <w:divBdr>
        <w:top w:val="none" w:sz="0" w:space="0" w:color="auto"/>
        <w:left w:val="none" w:sz="0" w:space="0" w:color="auto"/>
        <w:bottom w:val="none" w:sz="0" w:space="0" w:color="auto"/>
        <w:right w:val="none" w:sz="0" w:space="0" w:color="auto"/>
      </w:divBdr>
    </w:div>
    <w:div w:id="1105270643">
      <w:bodyDiv w:val="1"/>
      <w:marLeft w:val="0"/>
      <w:marRight w:val="0"/>
      <w:marTop w:val="0"/>
      <w:marBottom w:val="0"/>
      <w:divBdr>
        <w:top w:val="none" w:sz="0" w:space="0" w:color="auto"/>
        <w:left w:val="none" w:sz="0" w:space="0" w:color="auto"/>
        <w:bottom w:val="none" w:sz="0" w:space="0" w:color="auto"/>
        <w:right w:val="none" w:sz="0" w:space="0" w:color="auto"/>
      </w:divBdr>
    </w:div>
    <w:div w:id="1106534370">
      <w:bodyDiv w:val="1"/>
      <w:marLeft w:val="0"/>
      <w:marRight w:val="0"/>
      <w:marTop w:val="0"/>
      <w:marBottom w:val="0"/>
      <w:divBdr>
        <w:top w:val="none" w:sz="0" w:space="0" w:color="auto"/>
        <w:left w:val="none" w:sz="0" w:space="0" w:color="auto"/>
        <w:bottom w:val="none" w:sz="0" w:space="0" w:color="auto"/>
        <w:right w:val="none" w:sz="0" w:space="0" w:color="auto"/>
      </w:divBdr>
    </w:div>
    <w:div w:id="1159691526">
      <w:bodyDiv w:val="1"/>
      <w:marLeft w:val="0"/>
      <w:marRight w:val="0"/>
      <w:marTop w:val="0"/>
      <w:marBottom w:val="0"/>
      <w:divBdr>
        <w:top w:val="none" w:sz="0" w:space="0" w:color="auto"/>
        <w:left w:val="none" w:sz="0" w:space="0" w:color="auto"/>
        <w:bottom w:val="none" w:sz="0" w:space="0" w:color="auto"/>
        <w:right w:val="none" w:sz="0" w:space="0" w:color="auto"/>
      </w:divBdr>
    </w:div>
    <w:div w:id="1173296935">
      <w:bodyDiv w:val="1"/>
      <w:marLeft w:val="0"/>
      <w:marRight w:val="0"/>
      <w:marTop w:val="0"/>
      <w:marBottom w:val="0"/>
      <w:divBdr>
        <w:top w:val="none" w:sz="0" w:space="0" w:color="auto"/>
        <w:left w:val="none" w:sz="0" w:space="0" w:color="auto"/>
        <w:bottom w:val="none" w:sz="0" w:space="0" w:color="auto"/>
        <w:right w:val="none" w:sz="0" w:space="0" w:color="auto"/>
      </w:divBdr>
    </w:div>
    <w:div w:id="1180581634">
      <w:bodyDiv w:val="1"/>
      <w:marLeft w:val="0"/>
      <w:marRight w:val="0"/>
      <w:marTop w:val="0"/>
      <w:marBottom w:val="0"/>
      <w:divBdr>
        <w:top w:val="none" w:sz="0" w:space="0" w:color="auto"/>
        <w:left w:val="none" w:sz="0" w:space="0" w:color="auto"/>
        <w:bottom w:val="none" w:sz="0" w:space="0" w:color="auto"/>
        <w:right w:val="none" w:sz="0" w:space="0" w:color="auto"/>
      </w:divBdr>
    </w:div>
    <w:div w:id="1184788358">
      <w:bodyDiv w:val="1"/>
      <w:marLeft w:val="0"/>
      <w:marRight w:val="0"/>
      <w:marTop w:val="0"/>
      <w:marBottom w:val="0"/>
      <w:divBdr>
        <w:top w:val="none" w:sz="0" w:space="0" w:color="auto"/>
        <w:left w:val="none" w:sz="0" w:space="0" w:color="auto"/>
        <w:bottom w:val="none" w:sz="0" w:space="0" w:color="auto"/>
        <w:right w:val="none" w:sz="0" w:space="0" w:color="auto"/>
      </w:divBdr>
    </w:div>
    <w:div w:id="1225683506">
      <w:bodyDiv w:val="1"/>
      <w:marLeft w:val="0"/>
      <w:marRight w:val="0"/>
      <w:marTop w:val="0"/>
      <w:marBottom w:val="0"/>
      <w:divBdr>
        <w:top w:val="none" w:sz="0" w:space="0" w:color="auto"/>
        <w:left w:val="none" w:sz="0" w:space="0" w:color="auto"/>
        <w:bottom w:val="none" w:sz="0" w:space="0" w:color="auto"/>
        <w:right w:val="none" w:sz="0" w:space="0" w:color="auto"/>
      </w:divBdr>
    </w:div>
    <w:div w:id="1276865208">
      <w:bodyDiv w:val="1"/>
      <w:marLeft w:val="0"/>
      <w:marRight w:val="0"/>
      <w:marTop w:val="0"/>
      <w:marBottom w:val="0"/>
      <w:divBdr>
        <w:top w:val="none" w:sz="0" w:space="0" w:color="auto"/>
        <w:left w:val="none" w:sz="0" w:space="0" w:color="auto"/>
        <w:bottom w:val="none" w:sz="0" w:space="0" w:color="auto"/>
        <w:right w:val="none" w:sz="0" w:space="0" w:color="auto"/>
      </w:divBdr>
    </w:div>
    <w:div w:id="1286498252">
      <w:bodyDiv w:val="1"/>
      <w:marLeft w:val="0"/>
      <w:marRight w:val="0"/>
      <w:marTop w:val="0"/>
      <w:marBottom w:val="0"/>
      <w:divBdr>
        <w:top w:val="none" w:sz="0" w:space="0" w:color="auto"/>
        <w:left w:val="none" w:sz="0" w:space="0" w:color="auto"/>
        <w:bottom w:val="none" w:sz="0" w:space="0" w:color="auto"/>
        <w:right w:val="none" w:sz="0" w:space="0" w:color="auto"/>
      </w:divBdr>
    </w:div>
    <w:div w:id="1299650753">
      <w:bodyDiv w:val="1"/>
      <w:marLeft w:val="0"/>
      <w:marRight w:val="0"/>
      <w:marTop w:val="0"/>
      <w:marBottom w:val="0"/>
      <w:divBdr>
        <w:top w:val="none" w:sz="0" w:space="0" w:color="auto"/>
        <w:left w:val="none" w:sz="0" w:space="0" w:color="auto"/>
        <w:bottom w:val="none" w:sz="0" w:space="0" w:color="auto"/>
        <w:right w:val="none" w:sz="0" w:space="0" w:color="auto"/>
      </w:divBdr>
    </w:div>
    <w:div w:id="1364019922">
      <w:bodyDiv w:val="1"/>
      <w:marLeft w:val="0"/>
      <w:marRight w:val="0"/>
      <w:marTop w:val="0"/>
      <w:marBottom w:val="0"/>
      <w:divBdr>
        <w:top w:val="none" w:sz="0" w:space="0" w:color="auto"/>
        <w:left w:val="none" w:sz="0" w:space="0" w:color="auto"/>
        <w:bottom w:val="none" w:sz="0" w:space="0" w:color="auto"/>
        <w:right w:val="none" w:sz="0" w:space="0" w:color="auto"/>
      </w:divBdr>
    </w:div>
    <w:div w:id="1433669864">
      <w:bodyDiv w:val="1"/>
      <w:marLeft w:val="0"/>
      <w:marRight w:val="0"/>
      <w:marTop w:val="0"/>
      <w:marBottom w:val="0"/>
      <w:divBdr>
        <w:top w:val="none" w:sz="0" w:space="0" w:color="auto"/>
        <w:left w:val="none" w:sz="0" w:space="0" w:color="auto"/>
        <w:bottom w:val="none" w:sz="0" w:space="0" w:color="auto"/>
        <w:right w:val="none" w:sz="0" w:space="0" w:color="auto"/>
      </w:divBdr>
    </w:div>
    <w:div w:id="1488589967">
      <w:bodyDiv w:val="1"/>
      <w:marLeft w:val="0"/>
      <w:marRight w:val="0"/>
      <w:marTop w:val="0"/>
      <w:marBottom w:val="0"/>
      <w:divBdr>
        <w:top w:val="none" w:sz="0" w:space="0" w:color="auto"/>
        <w:left w:val="none" w:sz="0" w:space="0" w:color="auto"/>
        <w:bottom w:val="none" w:sz="0" w:space="0" w:color="auto"/>
        <w:right w:val="none" w:sz="0" w:space="0" w:color="auto"/>
      </w:divBdr>
    </w:div>
    <w:div w:id="1542093751">
      <w:bodyDiv w:val="1"/>
      <w:marLeft w:val="0"/>
      <w:marRight w:val="0"/>
      <w:marTop w:val="0"/>
      <w:marBottom w:val="0"/>
      <w:divBdr>
        <w:top w:val="none" w:sz="0" w:space="0" w:color="auto"/>
        <w:left w:val="none" w:sz="0" w:space="0" w:color="auto"/>
        <w:bottom w:val="none" w:sz="0" w:space="0" w:color="auto"/>
        <w:right w:val="none" w:sz="0" w:space="0" w:color="auto"/>
      </w:divBdr>
    </w:div>
    <w:div w:id="1567448908">
      <w:bodyDiv w:val="1"/>
      <w:marLeft w:val="0"/>
      <w:marRight w:val="0"/>
      <w:marTop w:val="0"/>
      <w:marBottom w:val="0"/>
      <w:divBdr>
        <w:top w:val="none" w:sz="0" w:space="0" w:color="auto"/>
        <w:left w:val="none" w:sz="0" w:space="0" w:color="auto"/>
        <w:bottom w:val="none" w:sz="0" w:space="0" w:color="auto"/>
        <w:right w:val="none" w:sz="0" w:space="0" w:color="auto"/>
      </w:divBdr>
    </w:div>
    <w:div w:id="1599095215">
      <w:bodyDiv w:val="1"/>
      <w:marLeft w:val="0"/>
      <w:marRight w:val="0"/>
      <w:marTop w:val="0"/>
      <w:marBottom w:val="0"/>
      <w:divBdr>
        <w:top w:val="none" w:sz="0" w:space="0" w:color="auto"/>
        <w:left w:val="none" w:sz="0" w:space="0" w:color="auto"/>
        <w:bottom w:val="none" w:sz="0" w:space="0" w:color="auto"/>
        <w:right w:val="none" w:sz="0" w:space="0" w:color="auto"/>
      </w:divBdr>
    </w:div>
    <w:div w:id="1606838976">
      <w:bodyDiv w:val="1"/>
      <w:marLeft w:val="0"/>
      <w:marRight w:val="0"/>
      <w:marTop w:val="0"/>
      <w:marBottom w:val="0"/>
      <w:divBdr>
        <w:top w:val="none" w:sz="0" w:space="0" w:color="auto"/>
        <w:left w:val="none" w:sz="0" w:space="0" w:color="auto"/>
        <w:bottom w:val="none" w:sz="0" w:space="0" w:color="auto"/>
        <w:right w:val="none" w:sz="0" w:space="0" w:color="auto"/>
      </w:divBdr>
    </w:div>
    <w:div w:id="1662805794">
      <w:bodyDiv w:val="1"/>
      <w:marLeft w:val="0"/>
      <w:marRight w:val="0"/>
      <w:marTop w:val="0"/>
      <w:marBottom w:val="0"/>
      <w:divBdr>
        <w:top w:val="none" w:sz="0" w:space="0" w:color="auto"/>
        <w:left w:val="none" w:sz="0" w:space="0" w:color="auto"/>
        <w:bottom w:val="none" w:sz="0" w:space="0" w:color="auto"/>
        <w:right w:val="none" w:sz="0" w:space="0" w:color="auto"/>
      </w:divBdr>
    </w:div>
    <w:div w:id="1692535732">
      <w:bodyDiv w:val="1"/>
      <w:marLeft w:val="0"/>
      <w:marRight w:val="0"/>
      <w:marTop w:val="0"/>
      <w:marBottom w:val="0"/>
      <w:divBdr>
        <w:top w:val="none" w:sz="0" w:space="0" w:color="auto"/>
        <w:left w:val="none" w:sz="0" w:space="0" w:color="auto"/>
        <w:bottom w:val="none" w:sz="0" w:space="0" w:color="auto"/>
        <w:right w:val="none" w:sz="0" w:space="0" w:color="auto"/>
      </w:divBdr>
    </w:div>
    <w:div w:id="1751926104">
      <w:bodyDiv w:val="1"/>
      <w:marLeft w:val="0"/>
      <w:marRight w:val="0"/>
      <w:marTop w:val="0"/>
      <w:marBottom w:val="0"/>
      <w:divBdr>
        <w:top w:val="none" w:sz="0" w:space="0" w:color="auto"/>
        <w:left w:val="none" w:sz="0" w:space="0" w:color="auto"/>
        <w:bottom w:val="none" w:sz="0" w:space="0" w:color="auto"/>
        <w:right w:val="none" w:sz="0" w:space="0" w:color="auto"/>
      </w:divBdr>
    </w:div>
    <w:div w:id="1770663635">
      <w:bodyDiv w:val="1"/>
      <w:marLeft w:val="0"/>
      <w:marRight w:val="0"/>
      <w:marTop w:val="0"/>
      <w:marBottom w:val="0"/>
      <w:divBdr>
        <w:top w:val="none" w:sz="0" w:space="0" w:color="auto"/>
        <w:left w:val="none" w:sz="0" w:space="0" w:color="auto"/>
        <w:bottom w:val="none" w:sz="0" w:space="0" w:color="auto"/>
        <w:right w:val="none" w:sz="0" w:space="0" w:color="auto"/>
      </w:divBdr>
    </w:div>
    <w:div w:id="1913616107">
      <w:bodyDiv w:val="1"/>
      <w:marLeft w:val="0"/>
      <w:marRight w:val="0"/>
      <w:marTop w:val="0"/>
      <w:marBottom w:val="0"/>
      <w:divBdr>
        <w:top w:val="none" w:sz="0" w:space="0" w:color="auto"/>
        <w:left w:val="none" w:sz="0" w:space="0" w:color="auto"/>
        <w:bottom w:val="none" w:sz="0" w:space="0" w:color="auto"/>
        <w:right w:val="none" w:sz="0" w:space="0" w:color="auto"/>
      </w:divBdr>
    </w:div>
    <w:div w:id="1927835152">
      <w:bodyDiv w:val="1"/>
      <w:marLeft w:val="0"/>
      <w:marRight w:val="0"/>
      <w:marTop w:val="0"/>
      <w:marBottom w:val="0"/>
      <w:divBdr>
        <w:top w:val="none" w:sz="0" w:space="0" w:color="auto"/>
        <w:left w:val="none" w:sz="0" w:space="0" w:color="auto"/>
        <w:bottom w:val="none" w:sz="0" w:space="0" w:color="auto"/>
        <w:right w:val="none" w:sz="0" w:space="0" w:color="auto"/>
      </w:divBdr>
    </w:div>
    <w:div w:id="1933705253">
      <w:bodyDiv w:val="1"/>
      <w:marLeft w:val="0"/>
      <w:marRight w:val="0"/>
      <w:marTop w:val="0"/>
      <w:marBottom w:val="0"/>
      <w:divBdr>
        <w:top w:val="none" w:sz="0" w:space="0" w:color="auto"/>
        <w:left w:val="none" w:sz="0" w:space="0" w:color="auto"/>
        <w:bottom w:val="none" w:sz="0" w:space="0" w:color="auto"/>
        <w:right w:val="none" w:sz="0" w:space="0" w:color="auto"/>
      </w:divBdr>
    </w:div>
    <w:div w:id="2032877124">
      <w:bodyDiv w:val="1"/>
      <w:marLeft w:val="0"/>
      <w:marRight w:val="0"/>
      <w:marTop w:val="0"/>
      <w:marBottom w:val="0"/>
      <w:divBdr>
        <w:top w:val="none" w:sz="0" w:space="0" w:color="auto"/>
        <w:left w:val="none" w:sz="0" w:space="0" w:color="auto"/>
        <w:bottom w:val="none" w:sz="0" w:space="0" w:color="auto"/>
        <w:right w:val="none" w:sz="0" w:space="0" w:color="auto"/>
      </w:divBdr>
    </w:div>
    <w:div w:id="2071465021">
      <w:bodyDiv w:val="1"/>
      <w:marLeft w:val="0"/>
      <w:marRight w:val="0"/>
      <w:marTop w:val="0"/>
      <w:marBottom w:val="0"/>
      <w:divBdr>
        <w:top w:val="none" w:sz="0" w:space="0" w:color="auto"/>
        <w:left w:val="none" w:sz="0" w:space="0" w:color="auto"/>
        <w:bottom w:val="none" w:sz="0" w:space="0" w:color="auto"/>
        <w:right w:val="none" w:sz="0" w:space="0" w:color="auto"/>
      </w:divBdr>
    </w:div>
    <w:div w:id="2080858841">
      <w:bodyDiv w:val="1"/>
      <w:marLeft w:val="0"/>
      <w:marRight w:val="0"/>
      <w:marTop w:val="0"/>
      <w:marBottom w:val="0"/>
      <w:divBdr>
        <w:top w:val="none" w:sz="0" w:space="0" w:color="auto"/>
        <w:left w:val="none" w:sz="0" w:space="0" w:color="auto"/>
        <w:bottom w:val="none" w:sz="0" w:space="0" w:color="auto"/>
        <w:right w:val="none" w:sz="0" w:space="0" w:color="auto"/>
      </w:divBdr>
    </w:div>
    <w:div w:id="210672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fingocz"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facebook.com/fingo.cz"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fingocz3140" TargetMode="External"/><Relationship Id="rId5" Type="http://schemas.openxmlformats.org/officeDocument/2006/relationships/numbering" Target="numbering.xml"/><Relationship Id="rId15" Type="http://schemas.openxmlformats.org/officeDocument/2006/relationships/hyperlink" Target="https://www.linkedin.com/company/fingo-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akub.knapp@crestcom.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OneDrive%20-%20Crest%20Communications,%20a.s\Plocha%20(old)\FinGO_Sablon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18" ma:contentTypeDescription="Vytvoří nový dokument" ma:contentTypeScope="" ma:versionID="161e9df844dcf50cd73af27870c190c6">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c3628c2fb9054021a6ad666509f1871f"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8775cd-cb9a-4824-a228-d043804fb9c1" xsi:nil="true"/>
    <lcf76f155ced4ddcb4097134ff3c332f xmlns="65777e4e-9c65-48da-b9e4-8e2a74f419cb">
      <Terms xmlns="http://schemas.microsoft.com/office/infopath/2007/PartnerControls"/>
    </lcf76f155ced4ddcb4097134ff3c332f>
    <Obr_x00e1_zek xmlns="65777e4e-9c65-48da-b9e4-8e2a74f419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66608-9DD7-4175-9887-E9E474D4D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82881-D906-41BE-9E8E-E6CECCD9DC59}">
  <ds:schemaRefs>
    <ds:schemaRef ds:uri="http://schemas.microsoft.com/office/2006/metadata/properties"/>
    <ds:schemaRef ds:uri="http://schemas.microsoft.com/office/infopath/2007/PartnerControls"/>
    <ds:schemaRef ds:uri="8b8775cd-cb9a-4824-a228-d043804fb9c1"/>
    <ds:schemaRef ds:uri="65777e4e-9c65-48da-b9e4-8e2a74f419cb"/>
  </ds:schemaRefs>
</ds:datastoreItem>
</file>

<file path=customXml/itemProps3.xml><?xml version="1.0" encoding="utf-8"?>
<ds:datastoreItem xmlns:ds="http://schemas.openxmlformats.org/officeDocument/2006/customXml" ds:itemID="{9E6E8602-1146-4A4E-9988-0A68C2B718DE}">
  <ds:schemaRefs>
    <ds:schemaRef ds:uri="http://schemas.microsoft.com/sharepoint/v3/contenttype/forms"/>
  </ds:schemaRefs>
</ds:datastoreItem>
</file>

<file path=customXml/itemProps4.xml><?xml version="1.0" encoding="utf-8"?>
<ds:datastoreItem xmlns:ds="http://schemas.openxmlformats.org/officeDocument/2006/customXml" ds:itemID="{60987C92-30E1-4D02-AC4F-FE070F618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FinGO_Sablona</Template>
  <TotalTime>32</TotalTime>
  <Pages>3</Pages>
  <Words>973</Words>
  <Characters>5747</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Knapp</dc:creator>
  <cp:keywords/>
  <dc:description/>
  <cp:lastModifiedBy>Václav Junek</cp:lastModifiedBy>
  <cp:revision>31</cp:revision>
  <dcterms:created xsi:type="dcterms:W3CDTF">2026-02-24T10:25:00Z</dcterms:created>
  <dcterms:modified xsi:type="dcterms:W3CDTF">2026-04-08T07:54:00Z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0x010100EE21AEF63623FE4F9A58CC6BACDC5B81</vt:lpwstr>
  </property>
  <property fmtid="{D5CDD505-2E9C-101B-9397-08002B2CF9AE}" pid="3" name="MediaServiceImageTags">
    <vt:lpwstr/>
  </property>
</Properties>
</file>