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582D0646" w:rsidR="00BE39AB" w:rsidRDefault="00FC2A88" w:rsidP="00A62FB4">
      <w:pPr>
        <w:rPr>
          <w:rFonts w:cs="Open Sans"/>
          <w:b/>
          <w:bCs/>
          <w:sz w:val="32"/>
          <w:szCs w:val="32"/>
        </w:rPr>
      </w:pPr>
      <w:r w:rsidRPr="00FC2A88">
        <w:rPr>
          <w:rFonts w:cs="Open Sans"/>
          <w:b/>
          <w:bCs/>
          <w:sz w:val="32"/>
          <w:szCs w:val="32"/>
        </w:rPr>
        <w:t>Stát přispívá, ale nestačí to. Pojištění snížené soběstačnosti nabývá na popularitě</w:t>
      </w:r>
    </w:p>
    <w:p w14:paraId="5B1FC862" w14:textId="55072E1F" w:rsidR="00B522E3" w:rsidRDefault="00581AC6" w:rsidP="00785D3B">
      <w:pPr>
        <w:rPr>
          <w:rFonts w:cs="Open Sans"/>
          <w:b/>
          <w:bCs/>
        </w:rPr>
      </w:pPr>
      <w:r>
        <w:rPr>
          <w:rFonts w:cs="Open Sans"/>
          <w:b/>
          <w:bCs/>
        </w:rPr>
        <w:t xml:space="preserve">Praha </w:t>
      </w:r>
      <w:r w:rsidR="000C6DA0">
        <w:rPr>
          <w:rFonts w:cs="Open Sans"/>
          <w:b/>
          <w:bCs/>
        </w:rPr>
        <w:t>15</w:t>
      </w:r>
      <w:r>
        <w:rPr>
          <w:rFonts w:cs="Open Sans"/>
          <w:b/>
          <w:bCs/>
        </w:rPr>
        <w:t xml:space="preserve">. </w:t>
      </w:r>
      <w:r w:rsidR="002141DB">
        <w:rPr>
          <w:rFonts w:cs="Open Sans"/>
          <w:b/>
          <w:bCs/>
        </w:rPr>
        <w:t>dubna</w:t>
      </w:r>
      <w:r>
        <w:rPr>
          <w:rFonts w:cs="Open Sans"/>
          <w:b/>
          <w:bCs/>
        </w:rPr>
        <w:t xml:space="preserve"> 202</w:t>
      </w:r>
      <w:r w:rsidR="00214205">
        <w:rPr>
          <w:rFonts w:cs="Open Sans"/>
          <w:b/>
          <w:bCs/>
        </w:rPr>
        <w:t>6</w:t>
      </w:r>
      <w:r>
        <w:rPr>
          <w:rFonts w:cs="Open Sans"/>
          <w:b/>
          <w:bCs/>
        </w:rPr>
        <w:t xml:space="preserve"> </w:t>
      </w:r>
      <w:r w:rsidR="006261F9">
        <w:rPr>
          <w:rFonts w:cs="Open Sans"/>
          <w:b/>
          <w:bCs/>
        </w:rPr>
        <w:t>–</w:t>
      </w:r>
      <w:r w:rsidR="00151589">
        <w:rPr>
          <w:rFonts w:cs="Open Sans"/>
          <w:b/>
          <w:bCs/>
        </w:rPr>
        <w:t xml:space="preserve"> </w:t>
      </w:r>
      <w:r w:rsidR="00436640" w:rsidRPr="00436640">
        <w:rPr>
          <w:rFonts w:cs="Open Sans"/>
          <w:b/>
          <w:bCs/>
        </w:rPr>
        <w:t>Stárnutí populace a rostoucí počet lidí závislých na pomoci druhých zvyšují zájem o pojištění dlouhodobé péče. Do roku 2050 má v České republice narůst počet seniorů z 2,1 milionu na 3,1 milionu, přičemž více než 70 % lidí se obává ztráty soběstačnosti. Stát sice poskytuje příspěvek na péči, ten však často nepokrývá skutečné náklady, které se mohou vyšplhat až na miliony korun. Pojištění snížené soběstačnosti proto slouží jako doplněk k veřejné podpoře a od roku 2024 přináší i možnost daňového zvýhodnění.</w:t>
      </w:r>
    </w:p>
    <w:p w14:paraId="7B0DD904" w14:textId="00CFEF43" w:rsidR="006E7408" w:rsidRPr="00B806BB" w:rsidRDefault="00436640" w:rsidP="0018789C">
      <w:pPr>
        <w:rPr>
          <w:rFonts w:cs="Open Sans"/>
        </w:rPr>
      </w:pPr>
      <w:r w:rsidRPr="00436640">
        <w:rPr>
          <w:rFonts w:cs="Open Sans"/>
          <w:i/>
          <w:iCs/>
        </w:rPr>
        <w:t xml:space="preserve">„Ztráta soběstačnosti není jen problémem vysokého věku. Může přijít i v důsledku vážného onemocnění nebo úrazu a znamená dlouhodobou finanční zátěž pro celou rodinu. Pojištění dlouhodobé péče </w:t>
      </w:r>
      <w:r>
        <w:rPr>
          <w:rFonts w:cs="Open Sans"/>
          <w:i/>
          <w:iCs/>
        </w:rPr>
        <w:t>slouží k tomu, aby</w:t>
      </w:r>
      <w:r w:rsidRPr="00436640">
        <w:rPr>
          <w:rFonts w:cs="Open Sans"/>
          <w:i/>
          <w:iCs/>
        </w:rPr>
        <w:t xml:space="preserve"> pokr</w:t>
      </w:r>
      <w:r>
        <w:rPr>
          <w:rFonts w:cs="Open Sans"/>
          <w:i/>
          <w:iCs/>
        </w:rPr>
        <w:t>ylo</w:t>
      </w:r>
      <w:r w:rsidRPr="00436640">
        <w:rPr>
          <w:rFonts w:cs="Open Sans"/>
          <w:i/>
          <w:iCs/>
        </w:rPr>
        <w:t xml:space="preserve"> rozdíl mezi státním příspěvkem a reálnými náklady na péči,“</w:t>
      </w:r>
      <w:r w:rsidRPr="00436640">
        <w:rPr>
          <w:rFonts w:cs="Open Sans"/>
        </w:rPr>
        <w:t xml:space="preserve"> říká Petr Motáček, pojišťovací specialista společnosti FinGO.</w:t>
      </w:r>
    </w:p>
    <w:p w14:paraId="13C44740" w14:textId="35FA6CEC" w:rsidR="000C0B4D" w:rsidRPr="00472255" w:rsidRDefault="000C0B4D" w:rsidP="000C0B4D">
      <w:pPr>
        <w:rPr>
          <w:rFonts w:cs="Open Sans"/>
          <w:b/>
          <w:bCs/>
        </w:rPr>
      </w:pPr>
      <w:r w:rsidRPr="00472255">
        <w:rPr>
          <w:rFonts w:cs="Open Sans"/>
          <w:b/>
          <w:bCs/>
        </w:rPr>
        <w:t>Péče o blízké je náročná a může dopadat na rodinné finance</w:t>
      </w:r>
    </w:p>
    <w:p w14:paraId="26C19DE2" w14:textId="4AA5A3E4" w:rsidR="000C0B4D" w:rsidRPr="000C0B4D" w:rsidRDefault="000C0B4D" w:rsidP="000C0B4D">
      <w:pPr>
        <w:rPr>
          <w:rFonts w:cs="Open Sans"/>
        </w:rPr>
      </w:pPr>
      <w:r w:rsidRPr="000C0B4D">
        <w:rPr>
          <w:rFonts w:cs="Open Sans"/>
        </w:rPr>
        <w:t>Pojištění dlouhodobé péče, někdy označované jako pojištění snížené soběstačnosti, poskytuje finanční ochranu v situaci, kdy se člověk nedokáže sám postarat o základní životní potřeby. Stát rozlišuje čtyři stupně závislosti podle schopnosti zvládat deset základních oblastí – například mobilitu, orientaci, komunikaci, hygienu, stravování nebo péči o domácnost.</w:t>
      </w:r>
    </w:p>
    <w:p w14:paraId="6A46C5FB" w14:textId="47765894" w:rsidR="000C0B4D" w:rsidRPr="000C0B4D" w:rsidRDefault="000C0B4D" w:rsidP="000C0B4D">
      <w:pPr>
        <w:rPr>
          <w:rFonts w:cs="Open Sans"/>
        </w:rPr>
      </w:pPr>
      <w:r w:rsidRPr="000C0B4D">
        <w:rPr>
          <w:rFonts w:cs="Open Sans"/>
        </w:rPr>
        <w:t>Podle průzkumu realizovaného společností UNIQA ve spolupráci s agenturou NMS má každý čtvrtý Čech v rodině někoho, kdo je odkázán na pomoc druhých. Většina lidí přitom spoléhá na pomoc rodiny, která bývá psychicky i finančně náročná a může zatížit rodinné vztahy.</w:t>
      </w:r>
    </w:p>
    <w:p w14:paraId="2B38E45D" w14:textId="237091B5" w:rsidR="000C0B4D" w:rsidRPr="000C0B4D" w:rsidRDefault="000C0B4D" w:rsidP="000C0B4D">
      <w:pPr>
        <w:rPr>
          <w:rFonts w:cs="Open Sans"/>
        </w:rPr>
      </w:pPr>
      <w:r w:rsidRPr="005F66FA">
        <w:rPr>
          <w:rFonts w:cs="Open Sans"/>
          <w:i/>
          <w:iCs/>
        </w:rPr>
        <w:t>„Lidé často počítají s tím, že péči zajistí rodina, ale realita bývá jiná. Dlouhodobá péče znamená nejen časovou, ale i výraznou finanční zátěž – od rehabilitací přes sociální služby až po výpadek příjmu pečující osoby,“</w:t>
      </w:r>
      <w:r w:rsidRPr="000C0B4D">
        <w:rPr>
          <w:rFonts w:cs="Open Sans"/>
        </w:rPr>
        <w:t xml:space="preserve"> doplňuje </w:t>
      </w:r>
      <w:r w:rsidR="005F66FA">
        <w:rPr>
          <w:rFonts w:cs="Open Sans"/>
        </w:rPr>
        <w:t xml:space="preserve">Petr </w:t>
      </w:r>
      <w:r w:rsidRPr="000C0B4D">
        <w:rPr>
          <w:rFonts w:cs="Open Sans"/>
        </w:rPr>
        <w:t>Motáček.</w:t>
      </w:r>
    </w:p>
    <w:p w14:paraId="774230FD" w14:textId="3607A7E6" w:rsidR="000C0B4D" w:rsidRPr="000C196A" w:rsidRDefault="000C196A" w:rsidP="000C0B4D">
      <w:pPr>
        <w:rPr>
          <w:rFonts w:cs="Open Sans"/>
          <w:b/>
          <w:bCs/>
        </w:rPr>
      </w:pPr>
      <w:r w:rsidRPr="000C196A">
        <w:rPr>
          <w:rFonts w:cs="Open Sans"/>
          <w:b/>
          <w:bCs/>
        </w:rPr>
        <w:t>Finanční renta na péči doma i v zařízení, doplněná asistenčními službami</w:t>
      </w:r>
    </w:p>
    <w:p w14:paraId="584A0399" w14:textId="5EC0E5EA" w:rsidR="000C0B4D" w:rsidRPr="000C0B4D" w:rsidRDefault="000C0B4D" w:rsidP="000C0B4D">
      <w:pPr>
        <w:rPr>
          <w:rFonts w:cs="Open Sans"/>
        </w:rPr>
      </w:pPr>
      <w:r w:rsidRPr="000C0B4D">
        <w:rPr>
          <w:rFonts w:cs="Open Sans"/>
        </w:rPr>
        <w:t>Pojištění dlouhodobé péče vyplácí při pojistné události rentu, kterou lze využít na domácí péči, pobyt v zařízení nebo kombinaci obojího. Až 93 % lidí si přitom přeje zůstat doma. Některé pojišťovny nabízejí i asistenční služby – pomoc s výběrem zařízení, administrativou nebo finanční podporu rodinným příslušníkům.</w:t>
      </w:r>
    </w:p>
    <w:p w14:paraId="0719C391" w14:textId="28F12172" w:rsidR="000B18EC" w:rsidRDefault="000C0B4D" w:rsidP="00C00401">
      <w:pPr>
        <w:rPr>
          <w:rFonts w:cs="Open Sans"/>
        </w:rPr>
      </w:pPr>
      <w:r w:rsidRPr="000C0B4D">
        <w:rPr>
          <w:rFonts w:cs="Open Sans"/>
        </w:rPr>
        <w:t>Principem je dlouhodobé nebo doživotní zajištění při ztrátě soběstačnosti, obvykle od třetího stupně závislosti. Pojištění může pokrýt péči poskytovanou rodinou, zdravotní sestrou i sociální službou.</w:t>
      </w:r>
    </w:p>
    <w:p w14:paraId="2C1B3996" w14:textId="487A163C" w:rsidR="0070094A" w:rsidRDefault="0070094A" w:rsidP="00C00401">
      <w:pPr>
        <w:rPr>
          <w:rFonts w:cs="Open Sans"/>
          <w:b/>
          <w:bCs/>
        </w:rPr>
      </w:pPr>
      <w:r>
        <w:rPr>
          <w:rFonts w:cs="Open Sans"/>
          <w:b/>
          <w:bCs/>
        </w:rPr>
        <w:br w:type="column"/>
      </w:r>
      <w:r w:rsidRPr="0070094A">
        <w:rPr>
          <w:rFonts w:cs="Open Sans"/>
          <w:b/>
          <w:bCs/>
        </w:rPr>
        <w:lastRenderedPageBreak/>
        <w:t>Rozdílné podmínky i benefity: někde renta, jinde garantované místo v</w:t>
      </w:r>
      <w:r>
        <w:rPr>
          <w:rFonts w:cs="Open Sans"/>
          <w:b/>
          <w:bCs/>
        </w:rPr>
        <w:t> </w:t>
      </w:r>
      <w:r w:rsidRPr="0070094A">
        <w:rPr>
          <w:rFonts w:cs="Open Sans"/>
          <w:b/>
          <w:bCs/>
        </w:rPr>
        <w:t>péči</w:t>
      </w:r>
    </w:p>
    <w:p w14:paraId="1A67F78F" w14:textId="77777777" w:rsidR="0070094A" w:rsidRPr="0070094A" w:rsidRDefault="0070094A" w:rsidP="0070094A">
      <w:pPr>
        <w:rPr>
          <w:rFonts w:cs="Open Sans"/>
        </w:rPr>
      </w:pPr>
      <w:r w:rsidRPr="0070094A">
        <w:rPr>
          <w:rFonts w:cs="Open Sans"/>
        </w:rPr>
        <w:t>Na trhu existují významné rozdíly v podmínkách plnění i daňové uznatelnosti. Například:</w:t>
      </w:r>
    </w:p>
    <w:p w14:paraId="2190DA08" w14:textId="274CB8E2" w:rsidR="0070094A" w:rsidRPr="0070094A" w:rsidRDefault="0070094A" w:rsidP="0070094A">
      <w:pPr>
        <w:numPr>
          <w:ilvl w:val="0"/>
          <w:numId w:val="15"/>
        </w:numPr>
        <w:rPr>
          <w:rFonts w:cs="Open Sans"/>
        </w:rPr>
      </w:pPr>
      <w:r w:rsidRPr="0070094A">
        <w:rPr>
          <w:rFonts w:cs="Open Sans"/>
          <w:b/>
          <w:bCs/>
        </w:rPr>
        <w:t>NN</w:t>
      </w:r>
      <w:r>
        <w:rPr>
          <w:rFonts w:cs="Open Sans"/>
          <w:b/>
          <w:bCs/>
        </w:rPr>
        <w:t xml:space="preserve"> Pojišťovna</w:t>
      </w:r>
      <w:r w:rsidRPr="0070094A">
        <w:rPr>
          <w:rFonts w:cs="Open Sans"/>
        </w:rPr>
        <w:t xml:space="preserve"> nabízí připojištění s rentou 5 000 až 50 000 Kč a doživotní výplatou od III. stupně, s daňovou uznatelností pouze u III. a IV. stupně. </w:t>
      </w:r>
    </w:p>
    <w:p w14:paraId="4D091768" w14:textId="77777777" w:rsidR="0070094A" w:rsidRPr="0070094A" w:rsidRDefault="0070094A" w:rsidP="0070094A">
      <w:pPr>
        <w:numPr>
          <w:ilvl w:val="0"/>
          <w:numId w:val="15"/>
        </w:numPr>
        <w:rPr>
          <w:rFonts w:cs="Open Sans"/>
        </w:rPr>
      </w:pPr>
      <w:r w:rsidRPr="0070094A">
        <w:rPr>
          <w:rFonts w:cs="Open Sans"/>
          <w:b/>
          <w:bCs/>
        </w:rPr>
        <w:t>Kooperativa</w:t>
      </w:r>
      <w:r w:rsidRPr="0070094A">
        <w:rPr>
          <w:rFonts w:cs="Open Sans"/>
        </w:rPr>
        <w:t xml:space="preserve"> poskytuje doživotní pojištění od II. stupně závislosti a možnost sjednat rentu ve stejném rozsahu. </w:t>
      </w:r>
    </w:p>
    <w:p w14:paraId="70D3DAF4" w14:textId="77777777" w:rsidR="0070094A" w:rsidRPr="0070094A" w:rsidRDefault="0070094A" w:rsidP="0070094A">
      <w:pPr>
        <w:numPr>
          <w:ilvl w:val="0"/>
          <w:numId w:val="15"/>
        </w:numPr>
        <w:rPr>
          <w:rFonts w:cs="Open Sans"/>
        </w:rPr>
      </w:pPr>
      <w:r w:rsidRPr="0070094A">
        <w:rPr>
          <w:rFonts w:cs="Open Sans"/>
          <w:b/>
          <w:bCs/>
        </w:rPr>
        <w:t>UNIQA</w:t>
      </w:r>
      <w:r w:rsidRPr="0070094A">
        <w:rPr>
          <w:rFonts w:cs="Open Sans"/>
        </w:rPr>
        <w:t xml:space="preserve"> kryje dospělé od III. stupně a děti od II. stupně, s maximální pojistnou částkou 600 000 Kč. </w:t>
      </w:r>
    </w:p>
    <w:p w14:paraId="0A83AB3E" w14:textId="77777777" w:rsidR="0070094A" w:rsidRPr="0070094A" w:rsidRDefault="0070094A" w:rsidP="0070094A">
      <w:pPr>
        <w:numPr>
          <w:ilvl w:val="0"/>
          <w:numId w:val="15"/>
        </w:numPr>
        <w:rPr>
          <w:rFonts w:cs="Open Sans"/>
        </w:rPr>
      </w:pPr>
      <w:r w:rsidRPr="0070094A">
        <w:rPr>
          <w:rFonts w:cs="Open Sans"/>
          <w:b/>
          <w:bCs/>
        </w:rPr>
        <w:t>Allianz</w:t>
      </w:r>
      <w:r w:rsidRPr="0070094A">
        <w:rPr>
          <w:rFonts w:cs="Open Sans"/>
        </w:rPr>
        <w:t xml:space="preserve"> umožňuje sjednat ochranu až do 99 let, daňové zvýhodnění je opět pouze od III. stupně. </w:t>
      </w:r>
    </w:p>
    <w:p w14:paraId="784D32E0" w14:textId="77777777" w:rsidR="0070094A" w:rsidRPr="0070094A" w:rsidRDefault="0070094A" w:rsidP="0070094A">
      <w:pPr>
        <w:numPr>
          <w:ilvl w:val="0"/>
          <w:numId w:val="15"/>
        </w:numPr>
        <w:rPr>
          <w:rFonts w:cs="Open Sans"/>
        </w:rPr>
      </w:pPr>
      <w:r w:rsidRPr="0070094A">
        <w:rPr>
          <w:rFonts w:cs="Open Sans"/>
          <w:b/>
          <w:bCs/>
        </w:rPr>
        <w:t>Simplea</w:t>
      </w:r>
      <w:r w:rsidRPr="0070094A">
        <w:rPr>
          <w:rFonts w:cs="Open Sans"/>
        </w:rPr>
        <w:t xml:space="preserve"> nabízí vedle renty i garantované místo v pečovatelském zařízení bez doplatku a umístění do 30 dnů, jinak navýšení plnění o 30 %. </w:t>
      </w:r>
    </w:p>
    <w:p w14:paraId="44A5B4E9" w14:textId="77777777" w:rsidR="0070094A" w:rsidRPr="0070094A" w:rsidRDefault="0070094A" w:rsidP="0070094A">
      <w:pPr>
        <w:rPr>
          <w:rFonts w:cs="Open Sans"/>
        </w:rPr>
      </w:pPr>
      <w:r w:rsidRPr="0070094A">
        <w:rPr>
          <w:rFonts w:cs="Open Sans"/>
        </w:rPr>
        <w:t>Pojištění nabízejí i další společnosti, například Generali Česká pojišťovna, MetLife, ČPP nebo Komerční pojišťovna, ty však zatím neumožňují daňové zvýhodnění.</w:t>
      </w:r>
    </w:p>
    <w:p w14:paraId="47C52914" w14:textId="62066B0D" w:rsidR="0070094A" w:rsidRDefault="000D151C" w:rsidP="00C00401">
      <w:pPr>
        <w:rPr>
          <w:rFonts w:cs="Open Sans"/>
          <w:b/>
          <w:bCs/>
        </w:rPr>
      </w:pPr>
      <w:r w:rsidRPr="000D151C">
        <w:rPr>
          <w:rFonts w:cs="Open Sans"/>
          <w:b/>
          <w:bCs/>
        </w:rPr>
        <w:t>Stát motivuje k pojištění: pojistné si lze odečíst z</w:t>
      </w:r>
      <w:r>
        <w:rPr>
          <w:rFonts w:cs="Open Sans"/>
          <w:b/>
          <w:bCs/>
        </w:rPr>
        <w:t> </w:t>
      </w:r>
      <w:r w:rsidRPr="000D151C">
        <w:rPr>
          <w:rFonts w:cs="Open Sans"/>
          <w:b/>
          <w:bCs/>
        </w:rPr>
        <w:t>daní</w:t>
      </w:r>
    </w:p>
    <w:p w14:paraId="7E3F0A1B" w14:textId="77777777" w:rsidR="000D151C" w:rsidRPr="000D151C" w:rsidRDefault="000D151C" w:rsidP="000D151C">
      <w:pPr>
        <w:rPr>
          <w:rFonts w:cs="Open Sans"/>
        </w:rPr>
      </w:pPr>
      <w:r w:rsidRPr="000D151C">
        <w:rPr>
          <w:rFonts w:cs="Open Sans"/>
        </w:rPr>
        <w:t xml:space="preserve">Od roku 2024 lze pojistné na pojištění dlouhodobé péče (III. a IV. stupeň) odečíst od základu daně až do výše 48 000 Kč. Limit se sdílí s dalšími produkty, jako je životní pojištění, penzijní spoření nebo dlouhodobý investiční produkt. Příspěvek zaměstnavatele může být osvobozen od daně až do 50 000 Kč. </w:t>
      </w:r>
    </w:p>
    <w:p w14:paraId="5373A22C" w14:textId="1C31DBFE" w:rsidR="000D151C" w:rsidRPr="000D151C" w:rsidRDefault="000D151C" w:rsidP="000D151C">
      <w:pPr>
        <w:rPr>
          <w:rFonts w:cs="Open Sans"/>
        </w:rPr>
      </w:pPr>
      <w:r w:rsidRPr="000D151C">
        <w:rPr>
          <w:rFonts w:cs="Open Sans"/>
          <w:i/>
          <w:iCs/>
        </w:rPr>
        <w:t>„Daňové zvýhodnění výrazně zvyšuje atraktivitu tohoto typu pojištění. Klienti si mohou snížit daňový základ a zároveň se připravit na situaci, která může finančně zatížit celou rodinu,“</w:t>
      </w:r>
      <w:r w:rsidRPr="000D151C">
        <w:rPr>
          <w:rFonts w:cs="Open Sans"/>
        </w:rPr>
        <w:t xml:space="preserve"> vysvětluje</w:t>
      </w:r>
      <w:r>
        <w:rPr>
          <w:rFonts w:cs="Open Sans"/>
        </w:rPr>
        <w:t xml:space="preserve"> Petr</w:t>
      </w:r>
      <w:r w:rsidRPr="000D151C">
        <w:rPr>
          <w:rFonts w:cs="Open Sans"/>
        </w:rPr>
        <w:t xml:space="preserve"> Motáček.</w:t>
      </w:r>
    </w:p>
    <w:p w14:paraId="50D801D8" w14:textId="6A208955" w:rsidR="000D151C" w:rsidRDefault="000D151C" w:rsidP="00C00401">
      <w:pPr>
        <w:rPr>
          <w:rFonts w:cs="Open Sans"/>
          <w:b/>
          <w:bCs/>
        </w:rPr>
      </w:pPr>
      <w:r w:rsidRPr="000D151C">
        <w:rPr>
          <w:rFonts w:cs="Open Sans"/>
          <w:b/>
          <w:bCs/>
        </w:rPr>
        <w:t>Státní příspěvek totiž často nestačí</w:t>
      </w:r>
    </w:p>
    <w:p w14:paraId="7B077B57" w14:textId="375B4D6A" w:rsidR="000D151C" w:rsidRPr="000D151C" w:rsidRDefault="000D151C" w:rsidP="000D151C">
      <w:pPr>
        <w:rPr>
          <w:rFonts w:cs="Open Sans"/>
        </w:rPr>
      </w:pPr>
      <w:r w:rsidRPr="000D151C">
        <w:rPr>
          <w:rFonts w:cs="Open Sans"/>
        </w:rPr>
        <w:t>Výše státního příspěvku na péči od roku 2026 činí například 1 300 Kč měsíčně u I. stupně, 5 400 Kč u II. stupně, 14 800 Kč u III. stupně a až 27 000 Kč u IV. stupně při domácí péči. U</w:t>
      </w:r>
      <w:r>
        <w:rPr>
          <w:rFonts w:cs="Open Sans"/>
        </w:rPr>
        <w:t> </w:t>
      </w:r>
      <w:r w:rsidRPr="000D151C">
        <w:rPr>
          <w:rFonts w:cs="Open Sans"/>
        </w:rPr>
        <w:t xml:space="preserve">dětí jsou částky vyšší. </w:t>
      </w:r>
    </w:p>
    <w:p w14:paraId="6913A626" w14:textId="77777777" w:rsidR="000D151C" w:rsidRPr="000D151C" w:rsidRDefault="000D151C" w:rsidP="000D151C">
      <w:pPr>
        <w:rPr>
          <w:rFonts w:cs="Open Sans"/>
        </w:rPr>
      </w:pPr>
      <w:r w:rsidRPr="000D151C">
        <w:rPr>
          <w:rFonts w:cs="Open Sans"/>
        </w:rPr>
        <w:t xml:space="preserve">Náklady však mohou být výrazně vyšší – například pobyt v soukromém zařízení může stát 50 000 Kč měsíčně. Pokud člověk pobírá důchod 20 000 Kč a příspěvek na péči necelých 15 000 Kč, zbývá doplatit dalších 15 000 Kč, které může pokrýt právě pojištění. </w:t>
      </w:r>
    </w:p>
    <w:p w14:paraId="31D9EF39" w14:textId="3762200E" w:rsidR="000D151C" w:rsidRPr="000D151C" w:rsidRDefault="000D151C" w:rsidP="000D151C">
      <w:pPr>
        <w:rPr>
          <w:rFonts w:cs="Open Sans"/>
        </w:rPr>
      </w:pPr>
      <w:r w:rsidRPr="000D151C">
        <w:rPr>
          <w:rFonts w:cs="Open Sans"/>
        </w:rPr>
        <w:t xml:space="preserve">Celkové náklady na dlouhodobou péči se mohou vyšplhat na 1 až 3 miliony korun, přičemž zákonná cena jedné hodiny péče je 155 Kč, v praxi </w:t>
      </w:r>
      <w:r w:rsidR="00282649">
        <w:rPr>
          <w:rFonts w:cs="Open Sans"/>
        </w:rPr>
        <w:t xml:space="preserve">však bývá </w:t>
      </w:r>
      <w:r w:rsidRPr="000D151C">
        <w:rPr>
          <w:rFonts w:cs="Open Sans"/>
        </w:rPr>
        <w:t xml:space="preserve">často vyšší. </w:t>
      </w:r>
    </w:p>
    <w:p w14:paraId="0DDBF8FB" w14:textId="2FA4A32E" w:rsidR="00594691" w:rsidRPr="00594691" w:rsidRDefault="00594691" w:rsidP="00594691">
      <w:pPr>
        <w:rPr>
          <w:rFonts w:cs="Open Sans"/>
          <w:b/>
          <w:bCs/>
        </w:rPr>
      </w:pPr>
      <w:r w:rsidRPr="00594691">
        <w:rPr>
          <w:rFonts w:cs="Open Sans"/>
          <w:b/>
          <w:bCs/>
        </w:rPr>
        <w:t>Jak pojištění zapadá do finančního plánování</w:t>
      </w:r>
    </w:p>
    <w:p w14:paraId="453A6022" w14:textId="4A1E5C96" w:rsidR="00594691" w:rsidRPr="00594691" w:rsidRDefault="00594691" w:rsidP="00594691">
      <w:pPr>
        <w:rPr>
          <w:rFonts w:cs="Open Sans"/>
        </w:rPr>
      </w:pPr>
      <w:r w:rsidRPr="00594691">
        <w:rPr>
          <w:rFonts w:cs="Open Sans"/>
        </w:rPr>
        <w:t xml:space="preserve">Odborníci doporučují sjednat pojištění co nejdříve, protože nižší věk znamená nižší pojistné a vyšší pravděpodobnost uzavření smlouvy bez zdravotních výhrad. Důležité je </w:t>
      </w:r>
      <w:r w:rsidRPr="00594691">
        <w:rPr>
          <w:rFonts w:cs="Open Sans"/>
        </w:rPr>
        <w:lastRenderedPageBreak/>
        <w:t>zohlednit zdravotní stav, kombinovat pojištění s dalšími produkty a vytvořit finanční plán pro různé scénáře péče.</w:t>
      </w:r>
    </w:p>
    <w:p w14:paraId="54C0B5F5" w14:textId="6E93CBE7" w:rsidR="000D151C" w:rsidRPr="000D151C" w:rsidRDefault="00594691" w:rsidP="00594691">
      <w:pPr>
        <w:rPr>
          <w:rFonts w:cs="Open Sans"/>
        </w:rPr>
      </w:pPr>
      <w:r w:rsidRPr="00F52619">
        <w:rPr>
          <w:rFonts w:cs="Open Sans"/>
          <w:i/>
          <w:iCs/>
        </w:rPr>
        <w:t>„Ideální je kombinovat pojištění s vlastní finanční rezervou. Včasné nastavení pojistné částky může zabránit tomu, aby se péče o blízkého proměnila ve vážný zásah do rodinného rozpočtu,“</w:t>
      </w:r>
      <w:r w:rsidRPr="00594691">
        <w:rPr>
          <w:rFonts w:cs="Open Sans"/>
        </w:rPr>
        <w:t xml:space="preserve"> uzavírá </w:t>
      </w:r>
      <w:r w:rsidR="00F52619">
        <w:rPr>
          <w:rFonts w:cs="Open Sans"/>
        </w:rPr>
        <w:t xml:space="preserve">pojišťovací specialista Petr </w:t>
      </w:r>
      <w:r w:rsidRPr="00594691">
        <w:rPr>
          <w:rFonts w:cs="Open Sans"/>
        </w:rPr>
        <w:t>Motáček</w:t>
      </w:r>
      <w:r w:rsidR="00F52619">
        <w:rPr>
          <w:rFonts w:cs="Open Sans"/>
        </w:rPr>
        <w:t xml:space="preserve"> z FinGO</w:t>
      </w:r>
      <w:r w:rsidRPr="00594691">
        <w:rPr>
          <w:rFonts w:cs="Open Sans"/>
        </w:rPr>
        <w:t>.</w:t>
      </w:r>
    </w:p>
    <w:p w14:paraId="57CEC546" w14:textId="4D210716" w:rsidR="00712072" w:rsidRPr="002029CF" w:rsidRDefault="00712072" w:rsidP="00C00401">
      <w:pPr>
        <w:rPr>
          <w:rFonts w:cs="Open Sans"/>
        </w:rPr>
      </w:pPr>
      <w:r w:rsidRPr="007622A0">
        <w:rPr>
          <w:rFonts w:cs="Open Sans"/>
          <w:b/>
          <w:bCs/>
          <w:i/>
          <w:iCs/>
          <w:sz w:val="20"/>
          <w:szCs w:val="20"/>
        </w:rPr>
        <w:t>O společnosti FinGO:</w:t>
      </w:r>
    </w:p>
    <w:p w14:paraId="1DF04CF9" w14:textId="77777777" w:rsidR="002945A3"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1451B743"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CBE2" w14:textId="77777777" w:rsidR="001A13A0" w:rsidRDefault="001A13A0" w:rsidP="00C00401">
      <w:r>
        <w:separator/>
      </w:r>
    </w:p>
  </w:endnote>
  <w:endnote w:type="continuationSeparator" w:id="0">
    <w:p w14:paraId="56F536DD" w14:textId="77777777" w:rsidR="001A13A0" w:rsidRDefault="001A13A0"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71C6" w14:textId="77777777" w:rsidR="001A13A0" w:rsidRDefault="001A13A0" w:rsidP="00C00401">
      <w:r>
        <w:separator/>
      </w:r>
    </w:p>
  </w:footnote>
  <w:footnote w:type="continuationSeparator" w:id="0">
    <w:p w14:paraId="1E3357D1" w14:textId="77777777" w:rsidR="001A13A0" w:rsidRDefault="001A13A0"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B4182"/>
    <w:multiLevelType w:val="multilevel"/>
    <w:tmpl w:val="C38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3"/>
  </w:num>
  <w:num w:numId="2" w16cid:durableId="363099003">
    <w:abstractNumId w:val="0"/>
  </w:num>
  <w:num w:numId="3" w16cid:durableId="1533155299">
    <w:abstractNumId w:val="9"/>
  </w:num>
  <w:num w:numId="4" w16cid:durableId="1809980726">
    <w:abstractNumId w:val="10"/>
  </w:num>
  <w:num w:numId="5" w16cid:durableId="1958484008">
    <w:abstractNumId w:val="8"/>
  </w:num>
  <w:num w:numId="6" w16cid:durableId="854686921">
    <w:abstractNumId w:val="2"/>
  </w:num>
  <w:num w:numId="7" w16cid:durableId="1984118866">
    <w:abstractNumId w:val="5"/>
  </w:num>
  <w:num w:numId="8" w16cid:durableId="128133814">
    <w:abstractNumId w:val="14"/>
  </w:num>
  <w:num w:numId="9" w16cid:durableId="1499270494">
    <w:abstractNumId w:val="11"/>
  </w:num>
  <w:num w:numId="10" w16cid:durableId="1155218835">
    <w:abstractNumId w:val="3"/>
  </w:num>
  <w:num w:numId="11" w16cid:durableId="1201473057">
    <w:abstractNumId w:val="6"/>
  </w:num>
  <w:num w:numId="12" w16cid:durableId="1603875942">
    <w:abstractNumId w:val="12"/>
  </w:num>
  <w:num w:numId="13" w16cid:durableId="1193878460">
    <w:abstractNumId w:val="1"/>
  </w:num>
  <w:num w:numId="14" w16cid:durableId="2041857738">
    <w:abstractNumId w:val="7"/>
  </w:num>
  <w:num w:numId="15" w16cid:durableId="588777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5614"/>
    <w:rsid w:val="00027827"/>
    <w:rsid w:val="00030C15"/>
    <w:rsid w:val="0003140A"/>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0171"/>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18EC"/>
    <w:rsid w:val="000B3761"/>
    <w:rsid w:val="000B3F78"/>
    <w:rsid w:val="000B491A"/>
    <w:rsid w:val="000B53EF"/>
    <w:rsid w:val="000B5540"/>
    <w:rsid w:val="000B6269"/>
    <w:rsid w:val="000B6644"/>
    <w:rsid w:val="000B799B"/>
    <w:rsid w:val="000C0B4D"/>
    <w:rsid w:val="000C196A"/>
    <w:rsid w:val="000C1F47"/>
    <w:rsid w:val="000C32FA"/>
    <w:rsid w:val="000C4389"/>
    <w:rsid w:val="000C6DA0"/>
    <w:rsid w:val="000D151C"/>
    <w:rsid w:val="000D1903"/>
    <w:rsid w:val="000D4532"/>
    <w:rsid w:val="000D5055"/>
    <w:rsid w:val="000D5103"/>
    <w:rsid w:val="000D6645"/>
    <w:rsid w:val="000D6A46"/>
    <w:rsid w:val="000D6D02"/>
    <w:rsid w:val="000E0245"/>
    <w:rsid w:val="000E0D1B"/>
    <w:rsid w:val="000E157E"/>
    <w:rsid w:val="000E2A8F"/>
    <w:rsid w:val="000E6A0D"/>
    <w:rsid w:val="000F1513"/>
    <w:rsid w:val="000F2B58"/>
    <w:rsid w:val="000F3C52"/>
    <w:rsid w:val="000F6513"/>
    <w:rsid w:val="0010033D"/>
    <w:rsid w:val="00100EF2"/>
    <w:rsid w:val="00102EE3"/>
    <w:rsid w:val="00103C5D"/>
    <w:rsid w:val="00112630"/>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589"/>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8789C"/>
    <w:rsid w:val="0019024B"/>
    <w:rsid w:val="001932B1"/>
    <w:rsid w:val="001946FC"/>
    <w:rsid w:val="00197F73"/>
    <w:rsid w:val="001A06AC"/>
    <w:rsid w:val="001A0D25"/>
    <w:rsid w:val="001A1292"/>
    <w:rsid w:val="001A13A0"/>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6F2E"/>
    <w:rsid w:val="001C7341"/>
    <w:rsid w:val="001D072D"/>
    <w:rsid w:val="001D10AA"/>
    <w:rsid w:val="001D1479"/>
    <w:rsid w:val="001D24B7"/>
    <w:rsid w:val="001D279C"/>
    <w:rsid w:val="001D2C8C"/>
    <w:rsid w:val="001D4EB5"/>
    <w:rsid w:val="001D588D"/>
    <w:rsid w:val="001D598E"/>
    <w:rsid w:val="001E080B"/>
    <w:rsid w:val="001E1289"/>
    <w:rsid w:val="001E302B"/>
    <w:rsid w:val="001E30CC"/>
    <w:rsid w:val="001E68DC"/>
    <w:rsid w:val="001E6AB9"/>
    <w:rsid w:val="001E6F3F"/>
    <w:rsid w:val="001E6F4D"/>
    <w:rsid w:val="001E7717"/>
    <w:rsid w:val="001F00A7"/>
    <w:rsid w:val="001F250E"/>
    <w:rsid w:val="001F44D8"/>
    <w:rsid w:val="002029CF"/>
    <w:rsid w:val="002049BE"/>
    <w:rsid w:val="00204ED4"/>
    <w:rsid w:val="00207B4D"/>
    <w:rsid w:val="00210700"/>
    <w:rsid w:val="002113C3"/>
    <w:rsid w:val="002119CD"/>
    <w:rsid w:val="00211D63"/>
    <w:rsid w:val="00213647"/>
    <w:rsid w:val="00213ED1"/>
    <w:rsid w:val="002141DB"/>
    <w:rsid w:val="00214205"/>
    <w:rsid w:val="0021451A"/>
    <w:rsid w:val="002157D5"/>
    <w:rsid w:val="00215E72"/>
    <w:rsid w:val="002160C4"/>
    <w:rsid w:val="00216DBA"/>
    <w:rsid w:val="00217258"/>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26C5"/>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2649"/>
    <w:rsid w:val="00284142"/>
    <w:rsid w:val="002876FC"/>
    <w:rsid w:val="00287DF5"/>
    <w:rsid w:val="002905E6"/>
    <w:rsid w:val="0029083A"/>
    <w:rsid w:val="00292F00"/>
    <w:rsid w:val="002945A3"/>
    <w:rsid w:val="0029488E"/>
    <w:rsid w:val="00295A20"/>
    <w:rsid w:val="002A007D"/>
    <w:rsid w:val="002A1734"/>
    <w:rsid w:val="002A1B55"/>
    <w:rsid w:val="002A1EE5"/>
    <w:rsid w:val="002A21E4"/>
    <w:rsid w:val="002A32F4"/>
    <w:rsid w:val="002A53DA"/>
    <w:rsid w:val="002A5D88"/>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E7C7D"/>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44D8"/>
    <w:rsid w:val="00315B04"/>
    <w:rsid w:val="00315C3A"/>
    <w:rsid w:val="00317268"/>
    <w:rsid w:val="00317763"/>
    <w:rsid w:val="00320C20"/>
    <w:rsid w:val="0032315D"/>
    <w:rsid w:val="00325C24"/>
    <w:rsid w:val="0033053C"/>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8E8"/>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3A41"/>
    <w:rsid w:val="004240D9"/>
    <w:rsid w:val="0042592F"/>
    <w:rsid w:val="004261C0"/>
    <w:rsid w:val="00427184"/>
    <w:rsid w:val="0042731D"/>
    <w:rsid w:val="00430FEE"/>
    <w:rsid w:val="0043125B"/>
    <w:rsid w:val="00431921"/>
    <w:rsid w:val="00432F8F"/>
    <w:rsid w:val="00433265"/>
    <w:rsid w:val="0043437F"/>
    <w:rsid w:val="0043504B"/>
    <w:rsid w:val="00435F26"/>
    <w:rsid w:val="00436640"/>
    <w:rsid w:val="00436A4D"/>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1A81"/>
    <w:rsid w:val="00472255"/>
    <w:rsid w:val="004741F4"/>
    <w:rsid w:val="00476146"/>
    <w:rsid w:val="00476C89"/>
    <w:rsid w:val="004777C9"/>
    <w:rsid w:val="00477D14"/>
    <w:rsid w:val="00480BE8"/>
    <w:rsid w:val="00480D15"/>
    <w:rsid w:val="00481BA9"/>
    <w:rsid w:val="00483220"/>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26FE"/>
    <w:rsid w:val="004C3812"/>
    <w:rsid w:val="004C50E4"/>
    <w:rsid w:val="004C5C16"/>
    <w:rsid w:val="004C5D53"/>
    <w:rsid w:val="004C67E0"/>
    <w:rsid w:val="004C74C2"/>
    <w:rsid w:val="004D030F"/>
    <w:rsid w:val="004D127B"/>
    <w:rsid w:val="004D2462"/>
    <w:rsid w:val="004D249B"/>
    <w:rsid w:val="004D386B"/>
    <w:rsid w:val="004D3C32"/>
    <w:rsid w:val="004D53B6"/>
    <w:rsid w:val="004D66A4"/>
    <w:rsid w:val="004D7882"/>
    <w:rsid w:val="004E35EB"/>
    <w:rsid w:val="004E41B1"/>
    <w:rsid w:val="004E456D"/>
    <w:rsid w:val="004E5C13"/>
    <w:rsid w:val="004E6F7B"/>
    <w:rsid w:val="004E78A7"/>
    <w:rsid w:val="004F2062"/>
    <w:rsid w:val="004F4F21"/>
    <w:rsid w:val="004F6C36"/>
    <w:rsid w:val="005002F0"/>
    <w:rsid w:val="0050184A"/>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ED9"/>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0D5"/>
    <w:rsid w:val="005936A5"/>
    <w:rsid w:val="00594691"/>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067"/>
    <w:rsid w:val="005C3118"/>
    <w:rsid w:val="005C3384"/>
    <w:rsid w:val="005C41E6"/>
    <w:rsid w:val="005C43E7"/>
    <w:rsid w:val="005C46D2"/>
    <w:rsid w:val="005C5272"/>
    <w:rsid w:val="005C5F49"/>
    <w:rsid w:val="005C7588"/>
    <w:rsid w:val="005C77FF"/>
    <w:rsid w:val="005D16E9"/>
    <w:rsid w:val="005D2051"/>
    <w:rsid w:val="005D2443"/>
    <w:rsid w:val="005D2E94"/>
    <w:rsid w:val="005D3A25"/>
    <w:rsid w:val="005D3C12"/>
    <w:rsid w:val="005D48A0"/>
    <w:rsid w:val="005D5F6D"/>
    <w:rsid w:val="005D62D6"/>
    <w:rsid w:val="005E261B"/>
    <w:rsid w:val="005E2C7A"/>
    <w:rsid w:val="005E3B20"/>
    <w:rsid w:val="005E79B1"/>
    <w:rsid w:val="005F5D29"/>
    <w:rsid w:val="005F66FA"/>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42E5"/>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C541F"/>
    <w:rsid w:val="006D0815"/>
    <w:rsid w:val="006D2C9F"/>
    <w:rsid w:val="006D3F48"/>
    <w:rsid w:val="006D596E"/>
    <w:rsid w:val="006D784C"/>
    <w:rsid w:val="006E0E12"/>
    <w:rsid w:val="006E111A"/>
    <w:rsid w:val="006E290E"/>
    <w:rsid w:val="006E2CB7"/>
    <w:rsid w:val="006E3B9F"/>
    <w:rsid w:val="006E4179"/>
    <w:rsid w:val="006E4B11"/>
    <w:rsid w:val="006E4D69"/>
    <w:rsid w:val="006E576A"/>
    <w:rsid w:val="006E5E5C"/>
    <w:rsid w:val="006E6B5A"/>
    <w:rsid w:val="006E7408"/>
    <w:rsid w:val="006F00A9"/>
    <w:rsid w:val="006F14CC"/>
    <w:rsid w:val="006F1D3A"/>
    <w:rsid w:val="006F26F7"/>
    <w:rsid w:val="006F2B8E"/>
    <w:rsid w:val="006F3E9F"/>
    <w:rsid w:val="006F50FA"/>
    <w:rsid w:val="006F5A5A"/>
    <w:rsid w:val="006F64EE"/>
    <w:rsid w:val="006F6884"/>
    <w:rsid w:val="006F7EA4"/>
    <w:rsid w:val="0070094A"/>
    <w:rsid w:val="00700A3E"/>
    <w:rsid w:val="00701655"/>
    <w:rsid w:val="00701CE2"/>
    <w:rsid w:val="00702BC1"/>
    <w:rsid w:val="007034DF"/>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44C"/>
    <w:rsid w:val="00741559"/>
    <w:rsid w:val="007420B7"/>
    <w:rsid w:val="0074213D"/>
    <w:rsid w:val="00743B30"/>
    <w:rsid w:val="007447AA"/>
    <w:rsid w:val="00745876"/>
    <w:rsid w:val="007517BE"/>
    <w:rsid w:val="00751C55"/>
    <w:rsid w:val="00753F29"/>
    <w:rsid w:val="0075473B"/>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A6B"/>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14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1C2C"/>
    <w:rsid w:val="009022A7"/>
    <w:rsid w:val="00903430"/>
    <w:rsid w:val="00903DAF"/>
    <w:rsid w:val="009045F1"/>
    <w:rsid w:val="00904A09"/>
    <w:rsid w:val="00907A2C"/>
    <w:rsid w:val="00910DFC"/>
    <w:rsid w:val="00911C8E"/>
    <w:rsid w:val="00912C31"/>
    <w:rsid w:val="00912EE6"/>
    <w:rsid w:val="009136E9"/>
    <w:rsid w:val="00914149"/>
    <w:rsid w:val="00914FC5"/>
    <w:rsid w:val="00916526"/>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67688"/>
    <w:rsid w:val="009726B3"/>
    <w:rsid w:val="009729D6"/>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3B8B"/>
    <w:rsid w:val="009A4B3A"/>
    <w:rsid w:val="009A55AB"/>
    <w:rsid w:val="009A6856"/>
    <w:rsid w:val="009B167B"/>
    <w:rsid w:val="009B2515"/>
    <w:rsid w:val="009B26C4"/>
    <w:rsid w:val="009B404E"/>
    <w:rsid w:val="009B6497"/>
    <w:rsid w:val="009B6A19"/>
    <w:rsid w:val="009C14C8"/>
    <w:rsid w:val="009C1551"/>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3813"/>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62A"/>
    <w:rsid w:val="00A358BC"/>
    <w:rsid w:val="00A36BFC"/>
    <w:rsid w:val="00A3757E"/>
    <w:rsid w:val="00A37C88"/>
    <w:rsid w:val="00A40B33"/>
    <w:rsid w:val="00A40F11"/>
    <w:rsid w:val="00A427CF"/>
    <w:rsid w:val="00A44368"/>
    <w:rsid w:val="00A447C4"/>
    <w:rsid w:val="00A44B03"/>
    <w:rsid w:val="00A46B10"/>
    <w:rsid w:val="00A4725B"/>
    <w:rsid w:val="00A4741D"/>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4FA"/>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76"/>
    <w:rsid w:val="00B13FF9"/>
    <w:rsid w:val="00B15FB5"/>
    <w:rsid w:val="00B164B1"/>
    <w:rsid w:val="00B16892"/>
    <w:rsid w:val="00B1724C"/>
    <w:rsid w:val="00B202CF"/>
    <w:rsid w:val="00B20DE5"/>
    <w:rsid w:val="00B21C6E"/>
    <w:rsid w:val="00B21DC7"/>
    <w:rsid w:val="00B22509"/>
    <w:rsid w:val="00B22D06"/>
    <w:rsid w:val="00B23C32"/>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6021"/>
    <w:rsid w:val="00B77104"/>
    <w:rsid w:val="00B7733B"/>
    <w:rsid w:val="00B806BB"/>
    <w:rsid w:val="00B8118B"/>
    <w:rsid w:val="00B81E6E"/>
    <w:rsid w:val="00B82B0A"/>
    <w:rsid w:val="00B900E8"/>
    <w:rsid w:val="00B912E9"/>
    <w:rsid w:val="00B91760"/>
    <w:rsid w:val="00B91D0F"/>
    <w:rsid w:val="00B9612C"/>
    <w:rsid w:val="00B96B36"/>
    <w:rsid w:val="00B971FC"/>
    <w:rsid w:val="00B97396"/>
    <w:rsid w:val="00BA0080"/>
    <w:rsid w:val="00BA0D1B"/>
    <w:rsid w:val="00BA148A"/>
    <w:rsid w:val="00BA21EA"/>
    <w:rsid w:val="00BA39E7"/>
    <w:rsid w:val="00BA4F2A"/>
    <w:rsid w:val="00BA6043"/>
    <w:rsid w:val="00BA7289"/>
    <w:rsid w:val="00BB17CC"/>
    <w:rsid w:val="00BB4CBA"/>
    <w:rsid w:val="00BB512A"/>
    <w:rsid w:val="00BB6FF7"/>
    <w:rsid w:val="00BB778B"/>
    <w:rsid w:val="00BB7DEE"/>
    <w:rsid w:val="00BC1615"/>
    <w:rsid w:val="00BC3B16"/>
    <w:rsid w:val="00BC4964"/>
    <w:rsid w:val="00BC49B3"/>
    <w:rsid w:val="00BC5379"/>
    <w:rsid w:val="00BC5D43"/>
    <w:rsid w:val="00BD0DBD"/>
    <w:rsid w:val="00BD217C"/>
    <w:rsid w:val="00BD2554"/>
    <w:rsid w:val="00BD2B5D"/>
    <w:rsid w:val="00BD3F59"/>
    <w:rsid w:val="00BD4B98"/>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5D5A"/>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5633"/>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20AE"/>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8BB"/>
    <w:rsid w:val="00D05FE5"/>
    <w:rsid w:val="00D06CC6"/>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E90"/>
    <w:rsid w:val="00D35FAC"/>
    <w:rsid w:val="00D401DB"/>
    <w:rsid w:val="00D40B2B"/>
    <w:rsid w:val="00D417FB"/>
    <w:rsid w:val="00D42C12"/>
    <w:rsid w:val="00D42D7A"/>
    <w:rsid w:val="00D440E7"/>
    <w:rsid w:val="00D467CE"/>
    <w:rsid w:val="00D46D6C"/>
    <w:rsid w:val="00D47298"/>
    <w:rsid w:val="00D474E2"/>
    <w:rsid w:val="00D51B1B"/>
    <w:rsid w:val="00D525EB"/>
    <w:rsid w:val="00D54B7E"/>
    <w:rsid w:val="00D57BA2"/>
    <w:rsid w:val="00D613ED"/>
    <w:rsid w:val="00D61F4A"/>
    <w:rsid w:val="00D64ED2"/>
    <w:rsid w:val="00D6706A"/>
    <w:rsid w:val="00D673C2"/>
    <w:rsid w:val="00D673E6"/>
    <w:rsid w:val="00D70E71"/>
    <w:rsid w:val="00D742F3"/>
    <w:rsid w:val="00D746B9"/>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4658"/>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A47"/>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5DFB"/>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2619"/>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21A5"/>
    <w:rsid w:val="00F93F08"/>
    <w:rsid w:val="00F943C1"/>
    <w:rsid w:val="00F95C65"/>
    <w:rsid w:val="00FA13A2"/>
    <w:rsid w:val="00FA3743"/>
    <w:rsid w:val="00FA4489"/>
    <w:rsid w:val="00FA4508"/>
    <w:rsid w:val="00FA52F4"/>
    <w:rsid w:val="00FA69FE"/>
    <w:rsid w:val="00FB2B67"/>
    <w:rsid w:val="00FB45A0"/>
    <w:rsid w:val="00FB5A90"/>
    <w:rsid w:val="00FC2A88"/>
    <w:rsid w:val="00FC2E71"/>
    <w:rsid w:val="00FC3F81"/>
    <w:rsid w:val="00FC5075"/>
    <w:rsid w:val="00FC5B17"/>
    <w:rsid w:val="00FC5C6E"/>
    <w:rsid w:val="00FC7216"/>
    <w:rsid w:val="00FC7ED0"/>
    <w:rsid w:val="00FD1005"/>
    <w:rsid w:val="00FD3324"/>
    <w:rsid w:val="00FD3481"/>
    <w:rsid w:val="00FD59EA"/>
    <w:rsid w:val="00FD5A07"/>
    <w:rsid w:val="00FD7515"/>
    <w:rsid w:val="00FE09F8"/>
    <w:rsid w:val="00FE1807"/>
    <w:rsid w:val="00FE2BE7"/>
    <w:rsid w:val="00FE36EA"/>
    <w:rsid w:val="00FE5AED"/>
    <w:rsid w:val="00FF11DE"/>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FinGO_Sablona.dotx</Template>
  <TotalTime>12</TotalTime>
  <Pages>3</Pages>
  <Words>946</Words>
  <Characters>5584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19</cp:revision>
  <dcterms:created xsi:type="dcterms:W3CDTF">2026-03-26T09:05:00Z</dcterms:created>
  <dcterms:modified xsi:type="dcterms:W3CDTF">2026-04-15T11:28:00Z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