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9CE1" w14:textId="642B834A" w:rsidR="00C4686E" w:rsidRPr="00EF2850" w:rsidRDefault="00C4686E" w:rsidP="446B20BC">
      <w:pPr>
        <w:pStyle w:val="Nadpis1"/>
        <w:spacing w:before="0" w:beforeAutospacing="0" w:after="0" w:afterAutospacing="0"/>
        <w:jc w:val="right"/>
        <w:rPr>
          <w:noProof/>
          <w:sz w:val="24"/>
          <w:szCs w:val="24"/>
        </w:rPr>
      </w:pPr>
      <w:r w:rsidRPr="446B20BC">
        <w:rPr>
          <w:noProof/>
          <w:sz w:val="24"/>
          <w:szCs w:val="24"/>
        </w:rPr>
        <w:t xml:space="preserve">Praha, </w:t>
      </w:r>
      <w:r w:rsidR="006B656D">
        <w:rPr>
          <w:noProof/>
          <w:sz w:val="24"/>
          <w:szCs w:val="24"/>
        </w:rPr>
        <w:t>5</w:t>
      </w:r>
      <w:r w:rsidR="00295ABA" w:rsidRPr="446B20BC">
        <w:rPr>
          <w:noProof/>
          <w:sz w:val="24"/>
          <w:szCs w:val="24"/>
        </w:rPr>
        <w:t>.</w:t>
      </w:r>
      <w:r w:rsidRPr="446B20BC">
        <w:rPr>
          <w:noProof/>
          <w:sz w:val="24"/>
          <w:szCs w:val="24"/>
        </w:rPr>
        <w:t xml:space="preserve"> </w:t>
      </w:r>
      <w:r w:rsidR="006B656D">
        <w:rPr>
          <w:noProof/>
          <w:sz w:val="24"/>
          <w:szCs w:val="24"/>
        </w:rPr>
        <w:t>února</w:t>
      </w:r>
      <w:r w:rsidR="3FD4AD54" w:rsidRPr="446B20BC">
        <w:rPr>
          <w:noProof/>
          <w:sz w:val="24"/>
          <w:szCs w:val="24"/>
        </w:rPr>
        <w:t xml:space="preserve"> </w:t>
      </w:r>
      <w:r w:rsidRPr="446B20BC">
        <w:rPr>
          <w:noProof/>
          <w:sz w:val="24"/>
          <w:szCs w:val="24"/>
        </w:rPr>
        <w:t>202</w:t>
      </w:r>
      <w:r w:rsidR="006B656D">
        <w:rPr>
          <w:noProof/>
          <w:sz w:val="24"/>
          <w:szCs w:val="24"/>
        </w:rPr>
        <w:t>6</w:t>
      </w:r>
    </w:p>
    <w:p w14:paraId="78960E85" w14:textId="66AA1E68" w:rsidR="00C4686E" w:rsidRDefault="00C4686E" w:rsidP="00C4686E">
      <w:pPr>
        <w:pStyle w:val="Nadpis1"/>
        <w:spacing w:before="0" w:beforeAutospacing="0" w:after="0" w:afterAutospacing="0"/>
        <w:jc w:val="center"/>
        <w:rPr>
          <w:noProof/>
          <w:sz w:val="44"/>
          <w:szCs w:val="40"/>
        </w:rPr>
      </w:pPr>
    </w:p>
    <w:p w14:paraId="64C1CE0D" w14:textId="59691EA4" w:rsidR="006B656D" w:rsidRDefault="006B656D" w:rsidP="00CD033C">
      <w:pPr>
        <w:jc w:val="both"/>
        <w:rPr>
          <w:rFonts w:asciiTheme="majorHAnsi" w:eastAsia="Times New Roman" w:hAnsiTheme="majorHAnsi" w:cs="Times New Roman"/>
          <w:b/>
          <w:bCs/>
          <w:noProof/>
          <w:kern w:val="36"/>
          <w:sz w:val="44"/>
          <w:szCs w:val="40"/>
          <w:lang w:eastAsia="cs-CZ"/>
        </w:rPr>
      </w:pPr>
      <w:r w:rsidRPr="006B656D">
        <w:rPr>
          <w:rFonts w:asciiTheme="majorHAnsi" w:eastAsia="Times New Roman" w:hAnsiTheme="majorHAnsi" w:cs="Times New Roman"/>
          <w:b/>
          <w:bCs/>
          <w:noProof/>
          <w:kern w:val="36"/>
          <w:sz w:val="44"/>
          <w:szCs w:val="40"/>
          <w:lang w:eastAsia="cs-CZ"/>
        </w:rPr>
        <w:t>CYRRUS představuje investiční výhled na rok 2026: AI, růst a Trump</w:t>
      </w:r>
    </w:p>
    <w:p w14:paraId="7B8DEAF2" w14:textId="77777777" w:rsidR="006B656D" w:rsidRPr="006B656D" w:rsidRDefault="006B656D" w:rsidP="00DB7560">
      <w:pPr>
        <w:jc w:val="both"/>
        <w:rPr>
          <w:b/>
          <w:bCs/>
          <w:sz w:val="24"/>
          <w:szCs w:val="24"/>
        </w:rPr>
      </w:pPr>
      <w:r w:rsidRPr="006B656D">
        <w:rPr>
          <w:b/>
          <w:bCs/>
          <w:sz w:val="24"/>
          <w:szCs w:val="24"/>
        </w:rPr>
        <w:t xml:space="preserve">Finanční skupina CYRRUS zveřejňuje svůj investiční výhled na rok 2026, který se zaměřuje na tři klíčová témata ovlivňující globální trhy: umělou inteligenci, pokračující ekonomický růst a dopady politiky Donalda Trumpa. Základním scénářem je další růst světové ekonomiky bez recese, postupné snižování úrokových sazeb v USA a přesun pozornosti investorů od euforie k reálným ziskům firem. </w:t>
      </w:r>
    </w:p>
    <w:p w14:paraId="733C59BB" w14:textId="77777777" w:rsidR="006B656D" w:rsidRPr="006B656D" w:rsidRDefault="006B656D" w:rsidP="006B656D">
      <w:pPr>
        <w:jc w:val="both"/>
        <w:rPr>
          <w:b/>
          <w:bCs/>
          <w:sz w:val="24"/>
          <w:szCs w:val="24"/>
        </w:rPr>
      </w:pPr>
      <w:r w:rsidRPr="006B656D">
        <w:rPr>
          <w:b/>
          <w:bCs/>
          <w:sz w:val="24"/>
          <w:szCs w:val="24"/>
        </w:rPr>
        <w:t>Česko: návrat k růstu, ale s přetrvávajícími inflačními tlaky</w:t>
      </w:r>
    </w:p>
    <w:p w14:paraId="6D4B530B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Česká ekonomika se v roce 2025 vrátila k růstu díky poklesu inflace a rychlému nárůstu reálných mezd. To jsou faktory, které obnovily kupní sílu domácností a podpořily spotřebu. Tento trend by měl pokračovat i v roce 2026, kdy CYRRUS očekává růst ekonomiky kolem 2,4 %.</w:t>
      </w:r>
    </w:p>
    <w:p w14:paraId="7DBDAD6D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Zatímco celková inflace zpomalila, inflační tlaky zcela nezmizely. Přetrvávají především v sektoru služeb, kde se ceny v prosinci meziročně zvýšily o 2,1 %. České národní bance se nedaří dostatečně brzdit inflaci ve službách, která vychází z rychlého tempa růstu reálných mezd. Ty na konci roku rostly tempem kolem 4,5 %.</w:t>
      </w:r>
    </w:p>
    <w:p w14:paraId="70B3261B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i/>
          <w:iCs/>
          <w:sz w:val="24"/>
          <w:szCs w:val="24"/>
        </w:rPr>
        <w:t>„Česká národní banka by proto měla po celý rok držet úrokové sazby na úrovni 3,5 %. Současné nastavení měnové politiky zůstává spíše restriktivní a má zabránit návratu silnějších inflačních tlaků. Koruna by měla zůstat relativně silná, s mírným posílením k úrovni kolem 24 korun za euro,“</w:t>
      </w:r>
      <w:r w:rsidRPr="006B656D">
        <w:rPr>
          <w:sz w:val="24"/>
          <w:szCs w:val="24"/>
        </w:rPr>
        <w:t xml:space="preserve"> říká Tomáš Pfeiler, portfolio manažer skupiny CYRRUS.</w:t>
      </w:r>
    </w:p>
    <w:p w14:paraId="23C9CF39" w14:textId="77777777" w:rsidR="006B656D" w:rsidRPr="006B656D" w:rsidRDefault="006B656D" w:rsidP="006B656D">
      <w:pPr>
        <w:jc w:val="both"/>
        <w:rPr>
          <w:b/>
          <w:bCs/>
          <w:sz w:val="24"/>
          <w:szCs w:val="24"/>
        </w:rPr>
      </w:pPr>
      <w:r w:rsidRPr="006B656D">
        <w:rPr>
          <w:b/>
          <w:bCs/>
          <w:sz w:val="24"/>
          <w:szCs w:val="24"/>
        </w:rPr>
        <w:t>Evropa: růst tažený zbrojením a fiskální politikou</w:t>
      </w:r>
    </w:p>
    <w:p w14:paraId="101F8976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Evropská ekonomika překvapila už v roce 2025 zrychlením růstu. Významnou roli sehrály vyšší výdaje na obranu v reakci na změněné geopolitické prostředí a tlak na posilování evropské bezpečnosti. Návrat Donalda Trumpa do čela USA znovu otevřel otázku větší odpovědnosti Evropy za vlastní obranu, což se promítá do rostoucích vojenských rozpočtů napříč kontinentem.</w:t>
      </w:r>
    </w:p>
    <w:p w14:paraId="24E93FD9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Dalším důležitým faktorem je uvolnění fiskální politiky, zejména v Německu, které se po letech rozpočtové zdrženlivosti stává jedním z hlavních zdrojů evropského růstu. Pro rok 2026 očekává CYRRUS růst evropské ekonomiky kolem 1,3 %.</w:t>
      </w:r>
    </w:p>
    <w:p w14:paraId="2343225A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Evropská centrální banka už pravděpodobně nebude úrokové sazby dále snižovat. Inflace se pohybuje mírně nad cílem a rychlejší růst ekonomiky by mohl v průběhu roku otevřít debatu o jejich zvýšení, i když to zatím není základní scénář.</w:t>
      </w:r>
    </w:p>
    <w:p w14:paraId="6189AB36" w14:textId="77777777" w:rsidR="006B656D" w:rsidRPr="006B656D" w:rsidRDefault="006B656D" w:rsidP="006B656D">
      <w:pPr>
        <w:jc w:val="both"/>
        <w:rPr>
          <w:b/>
          <w:bCs/>
          <w:sz w:val="24"/>
          <w:szCs w:val="24"/>
        </w:rPr>
      </w:pPr>
      <w:r w:rsidRPr="006B656D">
        <w:rPr>
          <w:b/>
          <w:bCs/>
          <w:sz w:val="24"/>
          <w:szCs w:val="24"/>
        </w:rPr>
        <w:t>USA: růst pokračuje, ale s novými riziky</w:t>
      </w:r>
    </w:p>
    <w:p w14:paraId="797A329F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Americká ekonomika by měla v roce 2026 růst tempem kolem 2,5 %. Hlavním tahounem zůstává spotřeba domácností, kterou podporují daňové škrty a stále relativně silný trh práce. Inflace postupně klesá a Fed by měl pokračovat v opatrném snižování úrokových sazeb.</w:t>
      </w:r>
    </w:p>
    <w:p w14:paraId="5FF4EF34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lastRenderedPageBreak/>
        <w:t>Do výhledu se ale výrazně promítají kroky administrativy Donalda Trumpa. První rozhodnutí ukázala návrat k tvrdší obchodní politice, včetně cel a protekcionistických opatření. Ta zvyšují nejistotu pro firmy i investory a mohou v delším horizontu brzdit globální obchod.</w:t>
      </w:r>
    </w:p>
    <w:p w14:paraId="52897807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Politická nejistota a opakovaně otevírané téma nezávislosti americké centrální banky se v roce 2025 promítly také do oslabení amerického dolaru. Část kapitálu se postupně přesouvá mimo USA, a to jak do jiných regionů, tak do alternativních aktiv.</w:t>
      </w:r>
    </w:p>
    <w:p w14:paraId="55C74542" w14:textId="739A06A8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i/>
          <w:iCs/>
          <w:sz w:val="24"/>
          <w:szCs w:val="24"/>
        </w:rPr>
        <w:t>„Kombinace klesajících úrokových sazeb a rostoucí ekonomiky je pro akciové trhy příznivá. Rizikem zůstává buď přehřátí ekonomiky, které by Fed donutilo držet sazby vysoko, nebo naopak nečekaná recese. Tu ale v ročním horizontu považujeme spíše za méně pravděpodobnou,“</w:t>
      </w:r>
      <w:r w:rsidRPr="006B656D">
        <w:rPr>
          <w:sz w:val="24"/>
          <w:szCs w:val="24"/>
        </w:rPr>
        <w:t xml:space="preserve"> říká Tomáš Pfeiler.</w:t>
      </w:r>
    </w:p>
    <w:p w14:paraId="58B8EB23" w14:textId="77777777" w:rsidR="006B656D" w:rsidRPr="006B656D" w:rsidRDefault="006B656D" w:rsidP="006B656D">
      <w:pPr>
        <w:jc w:val="both"/>
        <w:rPr>
          <w:b/>
          <w:bCs/>
          <w:sz w:val="24"/>
          <w:szCs w:val="24"/>
        </w:rPr>
      </w:pPr>
      <w:r w:rsidRPr="006B656D">
        <w:rPr>
          <w:b/>
          <w:bCs/>
          <w:sz w:val="24"/>
          <w:szCs w:val="24"/>
        </w:rPr>
        <w:t>Trhy: konec snadných zisků, začíná selekce</w:t>
      </w:r>
    </w:p>
    <w:p w14:paraId="492188B6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Základním předpokladem pro rok 2026 je, že prostor pro další expanzi valuací je z velké části vyčerpán. Případný růst indexu S&amp;P 500 by tak měl být tažen především zvýšením zisků, přičemž konsenzus pro zisk na akcii (EPS) ke konci roku 2026 činí 310 dolarů, což odpovídá meziročnímu růstu zhruba o 14 procent.</w:t>
      </w:r>
    </w:p>
    <w:p w14:paraId="268696A5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Roky 2023 až 2025 byly ve znamení silného růstu akcií, taženého zejména technologickými giganty a tématem umělé inteligence. Americký trh se dnes obchoduje s výraznou prémií vůči zbytku světa a s nadprůměrnými valuacemi.</w:t>
      </w:r>
    </w:p>
    <w:p w14:paraId="144DFA55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i/>
          <w:iCs/>
          <w:sz w:val="24"/>
          <w:szCs w:val="24"/>
        </w:rPr>
        <w:t>„Dny, kdy stačilo koupit celý trh nebo celý technologický sektor, jsou pravděpodobně pryč. Rok 2026 bude o selekci – o hledání firem, kde růst ceny skutečně odpovídá růstu zisků,“</w:t>
      </w:r>
      <w:r w:rsidRPr="006B656D">
        <w:rPr>
          <w:sz w:val="24"/>
          <w:szCs w:val="24"/>
        </w:rPr>
        <w:t xml:space="preserve"> říká Pfeiler.</w:t>
      </w:r>
    </w:p>
    <w:p w14:paraId="0E893FCF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Investice mimo USA mohou díky rozdílnému vývoji jednotlivých regionů lépe doplňovat americký trh, a to i přes vyšší politická a měnová rizika.</w:t>
      </w:r>
    </w:p>
    <w:p w14:paraId="4261B321" w14:textId="77777777" w:rsidR="006B656D" w:rsidRPr="006B656D" w:rsidRDefault="006B656D" w:rsidP="006B656D">
      <w:pPr>
        <w:jc w:val="both"/>
        <w:rPr>
          <w:b/>
          <w:bCs/>
          <w:sz w:val="24"/>
          <w:szCs w:val="24"/>
        </w:rPr>
      </w:pPr>
      <w:r w:rsidRPr="006B656D">
        <w:rPr>
          <w:b/>
          <w:bCs/>
          <w:sz w:val="24"/>
          <w:szCs w:val="24"/>
        </w:rPr>
        <w:t>Umělá inteligence: od euforie k monetizaci</w:t>
      </w:r>
    </w:p>
    <w:p w14:paraId="3921C50B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Umělá inteligence zůstává hlavním technologickým tématem. Rok 2025 byl ve znamení masivních investic do infrastruktury, datových center a čipů. Akcie mnoha firem rostly často už jen na základě oznámení, že „dělají AI“.</w:t>
      </w:r>
    </w:p>
    <w:p w14:paraId="5F90F87B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V roce 2026 se ale mění optika investorů. Nestačí říkat, že firma AI používá – musí ukázat, že na ní dokáže vydělat. Firmy začínají nabízet placené AI služby, ať už formou nástrojů pro kancelářskou práci, cloudových řešení nebo specializovaných aplikací pro podniky.</w:t>
      </w:r>
    </w:p>
    <w:p w14:paraId="57997D72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i/>
          <w:iCs/>
          <w:sz w:val="24"/>
          <w:szCs w:val="24"/>
        </w:rPr>
        <w:t>„Trh se posouvá od příběhů k číslům. Investoři chtějí vidět konkrétní dopad AI na tržby, produktivitu a marže,“</w:t>
      </w:r>
      <w:r w:rsidRPr="006B656D">
        <w:rPr>
          <w:sz w:val="24"/>
          <w:szCs w:val="24"/>
        </w:rPr>
        <w:t xml:space="preserve"> doplňuje Pfeiler.</w:t>
      </w:r>
    </w:p>
    <w:p w14:paraId="366E546F" w14:textId="77777777" w:rsidR="006B656D" w:rsidRPr="006B656D" w:rsidRDefault="006B656D" w:rsidP="006B656D">
      <w:pPr>
        <w:jc w:val="both"/>
        <w:rPr>
          <w:b/>
          <w:bCs/>
          <w:sz w:val="24"/>
          <w:szCs w:val="24"/>
        </w:rPr>
      </w:pPr>
      <w:r w:rsidRPr="006B656D">
        <w:rPr>
          <w:b/>
          <w:bCs/>
          <w:sz w:val="24"/>
          <w:szCs w:val="24"/>
        </w:rPr>
        <w:t>Cloud, čipy a energie: infrastruktura AI</w:t>
      </w:r>
    </w:p>
    <w:p w14:paraId="41A9EDE2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Růst umělé inteligence táhne cloudový sektor. Veřejné cloudové služby rostou tempem kolem 20–30 % ročně a specializované služby typu GPU-as-a-Service dokonce ještě rychleji. Masivní investice hyperscalerů vytvářejí příležitosti nejen pro softwarové firmy, ale i pro dodavatele serverů, čipů, elektrických sítí, chlazení či záložních zdrojů.</w:t>
      </w:r>
    </w:p>
    <w:p w14:paraId="2F17BC7D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lastRenderedPageBreak/>
        <w:t>Polovodičový průmysl vstupuje do roku 2026 ve velmi silné kondici. Díky AI, cloudu a datovým centrům by se měl globální trh přiblížit hranici jednoho bilionu dolarů ročních tržeb. Rizikem zůstává geopolitika a vysoká koncentrace výrobních kapacit v Asii.</w:t>
      </w:r>
    </w:p>
    <w:p w14:paraId="3CA6C287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Růst datových center zároveň zvyšuje poptávku po elektřině a zemním plynu. Ceny ropy by se měly pohybovat spíše kolem 60 dolarů za barel, zatímco význam plynu poroste díky LNG exportům a využití v energetice.</w:t>
      </w:r>
    </w:p>
    <w:p w14:paraId="64819AF2" w14:textId="77777777" w:rsidR="006B656D" w:rsidRPr="006B656D" w:rsidRDefault="006B656D" w:rsidP="006B656D">
      <w:pPr>
        <w:jc w:val="both"/>
        <w:rPr>
          <w:b/>
          <w:bCs/>
          <w:sz w:val="24"/>
          <w:szCs w:val="24"/>
        </w:rPr>
      </w:pPr>
      <w:r w:rsidRPr="006B656D">
        <w:rPr>
          <w:b/>
          <w:bCs/>
          <w:sz w:val="24"/>
          <w:szCs w:val="24"/>
        </w:rPr>
        <w:t>Co z toho plyne pro investory</w:t>
      </w:r>
    </w:p>
    <w:p w14:paraId="5B2210F3" w14:textId="77777777" w:rsidR="006B656D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sz w:val="24"/>
          <w:szCs w:val="24"/>
        </w:rPr>
        <w:t>Rok 2026 bude rokem větší opatrnosti, ale ne pesimismu. Základní scénář počítá s pokračujícím růstem trhů, i když pomalejším než v předchozích letech. Klíčová bude diverzifikace a aktivní výběr titulů.</w:t>
      </w:r>
    </w:p>
    <w:p w14:paraId="68C04374" w14:textId="44F12EB7" w:rsidR="00E02BF3" w:rsidRPr="006B656D" w:rsidRDefault="006B656D" w:rsidP="006B656D">
      <w:pPr>
        <w:jc w:val="both"/>
        <w:rPr>
          <w:sz w:val="24"/>
          <w:szCs w:val="24"/>
        </w:rPr>
      </w:pPr>
      <w:r w:rsidRPr="006B656D">
        <w:rPr>
          <w:i/>
          <w:iCs/>
          <w:sz w:val="24"/>
          <w:szCs w:val="24"/>
        </w:rPr>
        <w:t>„Méně euforie, více práce s daty a výsledky firem. Kdo zvládne selekci, může i v roce 2026 najít velmi zajímavé investiční příležitosti,“</w:t>
      </w:r>
      <w:r w:rsidRPr="006B656D">
        <w:rPr>
          <w:sz w:val="24"/>
          <w:szCs w:val="24"/>
        </w:rPr>
        <w:t xml:space="preserve"> uzavírá Tomáš Pfeiler.</w:t>
      </w:r>
    </w:p>
    <w:p w14:paraId="4B156344" w14:textId="77777777" w:rsidR="00A81D76" w:rsidRDefault="00A81D76" w:rsidP="00CD033C">
      <w:pPr>
        <w:jc w:val="both"/>
        <w:rPr>
          <w:sz w:val="24"/>
          <w:szCs w:val="24"/>
        </w:rPr>
      </w:pPr>
    </w:p>
    <w:p w14:paraId="7AB28E16" w14:textId="77777777" w:rsidR="00A81D76" w:rsidRDefault="00A81D76" w:rsidP="00CD033C">
      <w:pPr>
        <w:jc w:val="both"/>
        <w:rPr>
          <w:sz w:val="24"/>
          <w:szCs w:val="24"/>
        </w:rPr>
      </w:pPr>
    </w:p>
    <w:p w14:paraId="734FEC5D" w14:textId="77777777" w:rsidR="00A81D76" w:rsidRPr="00CD033C" w:rsidRDefault="00A81D76" w:rsidP="00CD033C">
      <w:pPr>
        <w:jc w:val="both"/>
        <w:rPr>
          <w:sz w:val="24"/>
          <w:szCs w:val="24"/>
        </w:rPr>
      </w:pPr>
    </w:p>
    <w:tbl>
      <w:tblPr>
        <w:tblStyle w:val="Mkatabulky"/>
        <w:tblpPr w:leftFromText="142" w:rightFromText="142" w:vertAnchor="page" w:horzAnchor="margin" w:tblpY="10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2664"/>
        <w:gridCol w:w="2655"/>
        <w:gridCol w:w="308"/>
        <w:gridCol w:w="2655"/>
      </w:tblGrid>
      <w:tr w:rsidR="00A02DDC" w:rsidRPr="00DF567F" w14:paraId="77211A67" w14:textId="77777777" w:rsidTr="00A02DDC">
        <w:trPr>
          <w:trHeight w:val="406"/>
        </w:trPr>
        <w:tc>
          <w:tcPr>
            <w:tcW w:w="2184" w:type="dxa"/>
            <w:tcBorders>
              <w:top w:val="single" w:sz="8" w:space="0" w:color="A6A6A6" w:themeColor="background1" w:themeShade="A6"/>
            </w:tcBorders>
          </w:tcPr>
          <w:p w14:paraId="0B896F18" w14:textId="77777777" w:rsidR="00A02DDC" w:rsidRDefault="00A02DDC" w:rsidP="00A02DDC">
            <w:pPr>
              <w:pStyle w:val="Zpat"/>
              <w:jc w:val="both"/>
              <w:rPr>
                <w:rFonts w:ascii="Arial" w:hAnsi="Arial" w:cs="Arial"/>
                <w:color w:val="FFC832" w:themeColor="background2"/>
                <w:sz w:val="22"/>
              </w:rPr>
            </w:pPr>
          </w:p>
          <w:p w14:paraId="3277935B" w14:textId="77777777" w:rsidR="00A02DDC" w:rsidRPr="00DF567F" w:rsidRDefault="00A02DDC" w:rsidP="00A02DDC">
            <w:pPr>
              <w:pStyle w:val="Zpat"/>
              <w:jc w:val="both"/>
              <w:rPr>
                <w:rFonts w:ascii="Arial" w:hAnsi="Arial" w:cs="Arial"/>
                <w:color w:val="FFC832" w:themeColor="background2"/>
                <w:sz w:val="22"/>
              </w:rPr>
            </w:pPr>
          </w:p>
        </w:tc>
        <w:tc>
          <w:tcPr>
            <w:tcW w:w="8282" w:type="dxa"/>
            <w:gridSpan w:val="4"/>
            <w:tcBorders>
              <w:top w:val="single" w:sz="8" w:space="0" w:color="A6A6A6" w:themeColor="background1" w:themeShade="A6"/>
            </w:tcBorders>
          </w:tcPr>
          <w:p w14:paraId="305CE745" w14:textId="77777777" w:rsidR="00A02DDC" w:rsidRPr="00DF567F" w:rsidRDefault="00A02DDC" w:rsidP="00A02DDC">
            <w:pPr>
              <w:pStyle w:val="Zpat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02DDC" w:rsidRPr="00DF567F" w14:paraId="25E782D2" w14:textId="77777777" w:rsidTr="00A02DDC">
        <w:trPr>
          <w:trHeight w:val="1127"/>
        </w:trPr>
        <w:tc>
          <w:tcPr>
            <w:tcW w:w="2184" w:type="dxa"/>
          </w:tcPr>
          <w:p w14:paraId="4BFEE78A" w14:textId="77777777" w:rsidR="00A02DDC" w:rsidRPr="00DF5F6D" w:rsidRDefault="00A02DDC" w:rsidP="00A02DDC">
            <w:pPr>
              <w:pStyle w:val="Zpa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5F6D">
              <w:rPr>
                <w:rFonts w:ascii="Arial" w:hAnsi="Arial" w:cs="Arial"/>
                <w:b/>
                <w:color w:val="FFC832" w:themeColor="background2"/>
                <w:sz w:val="20"/>
                <w:szCs w:val="20"/>
              </w:rPr>
              <w:t>Investujte.</w:t>
            </w:r>
            <w:r w:rsidRPr="00DF5F6D">
              <w:rPr>
                <w:rFonts w:ascii="Arial" w:hAnsi="Arial" w:cs="Arial"/>
                <w:b/>
                <w:color w:val="FFC832" w:themeColor="background2"/>
                <w:sz w:val="20"/>
                <w:szCs w:val="20"/>
              </w:rPr>
              <w:br/>
              <w:t>CYRRUS</w:t>
            </w:r>
          </w:p>
        </w:tc>
        <w:tc>
          <w:tcPr>
            <w:tcW w:w="8282" w:type="dxa"/>
            <w:gridSpan w:val="4"/>
          </w:tcPr>
          <w:p w14:paraId="0D05785F" w14:textId="4656293B" w:rsidR="00A02DDC" w:rsidRPr="00DF5F6D" w:rsidRDefault="00D55EDA" w:rsidP="00A02DDC">
            <w:pPr>
              <w:pStyle w:val="Zpat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Již více než</w:t>
            </w:r>
            <w:r w:rsidR="00A02DDC">
              <w:rPr>
                <w:rFonts w:ascii="Arial" w:hAnsi="Arial" w:cs="Arial"/>
                <w:szCs w:val="18"/>
              </w:rPr>
              <w:t xml:space="preserve"> </w:t>
            </w:r>
            <w:r w:rsidR="00A02DDC" w:rsidRPr="00DF5F6D">
              <w:rPr>
                <w:rFonts w:ascii="Arial" w:hAnsi="Arial" w:cs="Arial"/>
                <w:szCs w:val="18"/>
              </w:rPr>
              <w:t xml:space="preserve">25 let obchodujeme s cennými papíry, </w:t>
            </w:r>
            <w:r w:rsidR="00AB5F97">
              <w:rPr>
                <w:rFonts w:ascii="Arial" w:hAnsi="Arial" w:cs="Arial"/>
                <w:szCs w:val="18"/>
              </w:rPr>
              <w:t xml:space="preserve">aktivně se </w:t>
            </w:r>
            <w:r w:rsidR="00A02DDC" w:rsidRPr="00DF5F6D">
              <w:rPr>
                <w:rFonts w:ascii="Arial" w:hAnsi="Arial" w:cs="Arial"/>
                <w:szCs w:val="18"/>
              </w:rPr>
              <w:t>staráme o své klienty, reagujeme na dění ve světě a rozvíjíme se. Díky tomu vám můžeme přinášet stále nové služby a inovativní možnosti investování. Jsme CYRRUS.</w:t>
            </w:r>
          </w:p>
        </w:tc>
      </w:tr>
      <w:tr w:rsidR="00A02DDC" w:rsidRPr="00DF567F" w14:paraId="04BE26E6" w14:textId="77777777" w:rsidTr="00A02DDC">
        <w:trPr>
          <w:trHeight w:val="1895"/>
        </w:trPr>
        <w:tc>
          <w:tcPr>
            <w:tcW w:w="2184" w:type="dxa"/>
            <w:vMerge w:val="restart"/>
          </w:tcPr>
          <w:p w14:paraId="3D926F82" w14:textId="77777777" w:rsidR="00A02DDC" w:rsidRPr="00DF5F6D" w:rsidRDefault="00A02DDC" w:rsidP="00A02DDC">
            <w:pPr>
              <w:pStyle w:val="Zpa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DF5F6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Loga ke stažení</w:t>
              </w:r>
            </w:hyperlink>
          </w:p>
          <w:p w14:paraId="35CC9110" w14:textId="77777777" w:rsidR="00A02DDC" w:rsidRPr="00DF5F6D" w:rsidRDefault="00A02DDC" w:rsidP="00A02DDC">
            <w:pPr>
              <w:pStyle w:val="Zpat"/>
              <w:jc w:val="both"/>
              <w:rPr>
                <w:rStyle w:val="Hypertextovodkaz"/>
                <w:rFonts w:ascii="Arial" w:hAnsi="Arial" w:cs="Arial"/>
                <w:sz w:val="20"/>
                <w:szCs w:val="20"/>
              </w:rPr>
            </w:pPr>
            <w:hyperlink r:id="rId12" w:history="1">
              <w:r w:rsidRPr="00DF5F6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Obecné fotografie</w:t>
              </w:r>
            </w:hyperlink>
          </w:p>
          <w:p w14:paraId="03E5ED8E" w14:textId="77777777" w:rsidR="00A02DDC" w:rsidRPr="00DF5F6D" w:rsidRDefault="00A02DDC" w:rsidP="00A02DDC">
            <w:pPr>
              <w:pStyle w:val="Zpa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D712CA" w14:textId="77777777" w:rsidR="00A02DDC" w:rsidRPr="00DF5F6D" w:rsidRDefault="00A02DDC" w:rsidP="00A02DDC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DF5F6D">
              <w:rPr>
                <w:rFonts w:ascii="Arial" w:hAnsi="Arial" w:cs="Arial"/>
                <w:sz w:val="20"/>
                <w:szCs w:val="20"/>
              </w:rPr>
              <w:t>Název společnosti píšeme velkými písmeny a neskloňujeme.</w:t>
            </w:r>
          </w:p>
          <w:p w14:paraId="23F89DAF" w14:textId="77777777" w:rsidR="00A02DDC" w:rsidRPr="00DF5F6D" w:rsidRDefault="00A02DDC" w:rsidP="00A02DDC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</w:p>
          <w:p w14:paraId="13C6154C" w14:textId="77777777" w:rsidR="00A02DDC" w:rsidRPr="00DF5F6D" w:rsidRDefault="00A02DDC" w:rsidP="00A02DDC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DF5F6D">
              <w:rPr>
                <w:rFonts w:ascii="Arial" w:hAnsi="Arial" w:cs="Arial"/>
                <w:sz w:val="20"/>
                <w:szCs w:val="20"/>
              </w:rPr>
              <w:t>Vyslovujeme [CYRRUS].</w:t>
            </w:r>
          </w:p>
          <w:p w14:paraId="312BCC78" w14:textId="77777777" w:rsidR="00A02DDC" w:rsidRPr="00DF5F6D" w:rsidRDefault="00A02DDC" w:rsidP="00A02DDC">
            <w:pPr>
              <w:pStyle w:val="Zpa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DF5F6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WWW.CYRRUS.CZ</w:t>
              </w:r>
            </w:hyperlink>
          </w:p>
        </w:tc>
        <w:tc>
          <w:tcPr>
            <w:tcW w:w="2664" w:type="dxa"/>
          </w:tcPr>
          <w:p w14:paraId="784FD27C" w14:textId="196D979B" w:rsidR="00A02DDC" w:rsidRPr="00DF5F6D" w:rsidRDefault="006B656D" w:rsidP="00A02DDC">
            <w:pPr>
              <w:pStyle w:val="Zpa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noProof/>
                <w:szCs w:val="18"/>
              </w:rPr>
              <w:drawing>
                <wp:inline distT="0" distB="0" distL="0" distR="0" wp14:anchorId="1C5DD4DA" wp14:editId="28E932DA">
                  <wp:extent cx="1153795" cy="1153795"/>
                  <wp:effectExtent l="0" t="0" r="8255" b="8255"/>
                  <wp:docPr id="23516403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64034" name="Obrázek 23516403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34" cy="1176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dxa"/>
            <w:gridSpan w:val="2"/>
          </w:tcPr>
          <w:p w14:paraId="294AD669" w14:textId="3F0365AA" w:rsidR="00A02DDC" w:rsidRPr="00DF5F6D" w:rsidRDefault="006B656D" w:rsidP="00A02DDC">
            <w:pPr>
              <w:pStyle w:val="Zpat"/>
              <w:jc w:val="center"/>
              <w:rPr>
                <w:rFonts w:ascii="Arial" w:hAnsi="Arial" w:cs="Arial"/>
                <w:szCs w:val="18"/>
              </w:rPr>
            </w:pPr>
            <w:r w:rsidRPr="00DF5F6D">
              <w:rPr>
                <w:rFonts w:ascii="Arial" w:hAnsi="Arial" w:cs="Arial"/>
                <w:noProof/>
                <w:szCs w:val="18"/>
                <w:lang w:eastAsia="cs-CZ"/>
              </w:rPr>
              <w:drawing>
                <wp:inline distT="0" distB="0" distL="0" distR="0" wp14:anchorId="00600FB1" wp14:editId="0046A01E">
                  <wp:extent cx="1136488" cy="1136488"/>
                  <wp:effectExtent l="0" t="0" r="6985" b="6985"/>
                  <wp:docPr id="7" name="Obrázek 7" descr="Obsah obrázku text, vázanka, osoba, muž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Obrázek 878" descr="Obsah obrázku text, vázanka, osoba, muž&#10;&#10;Popis byl vytvořen automaticky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36488" cy="113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</w:tcPr>
          <w:p w14:paraId="37103B42" w14:textId="5827FA02" w:rsidR="00A02DDC" w:rsidRPr="00DF5F6D" w:rsidRDefault="00A02DDC" w:rsidP="00A02DDC">
            <w:pPr>
              <w:pStyle w:val="Zpat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6B656D" w:rsidRPr="00DF567F" w14:paraId="4514395B" w14:textId="77777777" w:rsidTr="00A02DDC">
        <w:trPr>
          <w:gridAfter w:val="2"/>
          <w:wAfter w:w="2963" w:type="dxa"/>
        </w:trPr>
        <w:tc>
          <w:tcPr>
            <w:tcW w:w="2184" w:type="dxa"/>
            <w:vMerge/>
          </w:tcPr>
          <w:p w14:paraId="0DE709D1" w14:textId="77777777" w:rsidR="006B656D" w:rsidRPr="00DF567F" w:rsidRDefault="006B656D" w:rsidP="00A02DDC">
            <w:pPr>
              <w:pStyle w:val="Zpat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64" w:type="dxa"/>
          </w:tcPr>
          <w:p w14:paraId="73705C9B" w14:textId="4BF37371" w:rsidR="006B656D" w:rsidRPr="00DF5F6D" w:rsidRDefault="006B656D" w:rsidP="00A02DDC">
            <w:pPr>
              <w:pStyle w:val="Zpat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David Lysek</w:t>
            </w:r>
          </w:p>
          <w:p w14:paraId="389DA3AA" w14:textId="6823F717" w:rsidR="006B656D" w:rsidRPr="00DF5F6D" w:rsidRDefault="006B656D" w:rsidP="006B656D">
            <w:pPr>
              <w:pStyle w:val="Zpat"/>
              <w:jc w:val="center"/>
              <w:rPr>
                <w:rFonts w:ascii="Arial" w:hAnsi="Arial" w:cs="Arial"/>
                <w:szCs w:val="18"/>
              </w:rPr>
            </w:pPr>
            <w:r w:rsidRPr="006B656D">
              <w:rPr>
                <w:rFonts w:ascii="Arial" w:hAnsi="Arial" w:cs="Arial"/>
                <w:szCs w:val="18"/>
              </w:rPr>
              <w:t>Chief Marketing Officer (CMO)</w:t>
            </w:r>
          </w:p>
        </w:tc>
        <w:tc>
          <w:tcPr>
            <w:tcW w:w="2655" w:type="dxa"/>
          </w:tcPr>
          <w:p w14:paraId="6E435657" w14:textId="64C5ED56" w:rsidR="006B656D" w:rsidRPr="00DF5F6D" w:rsidRDefault="006B656D" w:rsidP="00A02DDC">
            <w:pPr>
              <w:pStyle w:val="Zpat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   </w:t>
            </w:r>
            <w:r w:rsidRPr="00DF5F6D">
              <w:rPr>
                <w:rFonts w:ascii="Arial" w:hAnsi="Arial" w:cs="Arial"/>
                <w:b/>
                <w:szCs w:val="18"/>
              </w:rPr>
              <w:t>Tomáš Pfeiler</w:t>
            </w:r>
          </w:p>
          <w:p w14:paraId="28544CD4" w14:textId="6F626C76" w:rsidR="006B656D" w:rsidRPr="00DF5F6D" w:rsidRDefault="006B656D" w:rsidP="00A02DDC">
            <w:pPr>
              <w:pStyle w:val="Zpa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</w:t>
            </w:r>
            <w:r w:rsidRPr="00DF5F6D">
              <w:rPr>
                <w:rFonts w:ascii="Arial" w:hAnsi="Arial" w:cs="Arial"/>
                <w:szCs w:val="18"/>
              </w:rPr>
              <w:t xml:space="preserve">Portfolio manažer </w:t>
            </w:r>
          </w:p>
        </w:tc>
      </w:tr>
      <w:tr w:rsidR="006B656D" w:rsidRPr="00DF567F" w14:paraId="202C0BA0" w14:textId="77777777" w:rsidTr="00A02DDC">
        <w:trPr>
          <w:gridAfter w:val="2"/>
          <w:wAfter w:w="2963" w:type="dxa"/>
        </w:trPr>
        <w:tc>
          <w:tcPr>
            <w:tcW w:w="2184" w:type="dxa"/>
            <w:vMerge/>
          </w:tcPr>
          <w:p w14:paraId="33E937D1" w14:textId="77777777" w:rsidR="006B656D" w:rsidRPr="00DF567F" w:rsidRDefault="006B656D" w:rsidP="00A02DDC">
            <w:pPr>
              <w:pStyle w:val="Zpat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64" w:type="dxa"/>
          </w:tcPr>
          <w:p w14:paraId="150F2C03" w14:textId="45CFB936" w:rsidR="006B656D" w:rsidRPr="00DF5F6D" w:rsidRDefault="006B656D" w:rsidP="00A02DDC">
            <w:pPr>
              <w:jc w:val="center"/>
              <w:rPr>
                <w:rFonts w:ascii="Arial" w:hAnsi="Arial" w:cs="Arial"/>
                <w:szCs w:val="18"/>
              </w:rPr>
            </w:pPr>
            <w:hyperlink r:id="rId16" w:tooltip="tel:+420775705065" w:history="1">
              <w:r w:rsidRPr="006B656D">
                <w:rPr>
                  <w:rFonts w:ascii="Arial" w:hAnsi="Arial" w:cs="Arial"/>
                  <w:szCs w:val="18"/>
                </w:rPr>
                <w:t>775 705 065</w:t>
              </w:r>
            </w:hyperlink>
            <w:r w:rsidRPr="00DF5F6D"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david</w:t>
            </w:r>
            <w:r w:rsidRPr="00DF5F6D"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t>lysek</w:t>
            </w:r>
            <w:r w:rsidRPr="00DF5F6D">
              <w:rPr>
                <w:rFonts w:ascii="Arial" w:hAnsi="Arial" w:cs="Arial"/>
                <w:szCs w:val="18"/>
              </w:rPr>
              <w:t>@cyrrus.cz</w:t>
            </w:r>
          </w:p>
        </w:tc>
        <w:tc>
          <w:tcPr>
            <w:tcW w:w="2655" w:type="dxa"/>
          </w:tcPr>
          <w:p w14:paraId="75D5A51C" w14:textId="347E2028" w:rsidR="006B656D" w:rsidRPr="00DF5F6D" w:rsidRDefault="006B656D" w:rsidP="00A02DDC">
            <w:pPr>
              <w:pStyle w:val="Zpa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DF5F6D">
              <w:rPr>
                <w:rFonts w:ascii="Arial" w:hAnsi="Arial" w:cs="Arial"/>
                <w:szCs w:val="18"/>
              </w:rPr>
              <w:t>277 021 819</w:t>
            </w:r>
            <w:r w:rsidRPr="00DF5F6D"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 xml:space="preserve">      </w:t>
            </w:r>
            <w:r w:rsidRPr="00DF5F6D">
              <w:rPr>
                <w:rFonts w:ascii="Arial" w:hAnsi="Arial" w:cs="Arial"/>
                <w:szCs w:val="18"/>
              </w:rPr>
              <w:t>tomas.pfeiler@cyrrus.cz</w:t>
            </w:r>
          </w:p>
        </w:tc>
      </w:tr>
      <w:tr w:rsidR="00A02DDC" w:rsidRPr="00DF567F" w14:paraId="4E557930" w14:textId="77777777" w:rsidTr="00A02DDC">
        <w:trPr>
          <w:trHeight w:val="480"/>
        </w:trPr>
        <w:tc>
          <w:tcPr>
            <w:tcW w:w="2184" w:type="dxa"/>
            <w:vMerge/>
          </w:tcPr>
          <w:p w14:paraId="54C6CB9F" w14:textId="77777777" w:rsidR="00A02DDC" w:rsidRPr="00DF567F" w:rsidRDefault="00A02DDC" w:rsidP="00A02DDC">
            <w:pPr>
              <w:pStyle w:val="Zpat"/>
              <w:rPr>
                <w:rFonts w:ascii="Arial" w:hAnsi="Arial" w:cs="Arial"/>
                <w:sz w:val="22"/>
              </w:rPr>
            </w:pPr>
          </w:p>
        </w:tc>
        <w:tc>
          <w:tcPr>
            <w:tcW w:w="2664" w:type="dxa"/>
            <w:vAlign w:val="center"/>
          </w:tcPr>
          <w:p w14:paraId="697E6C13" w14:textId="46CB2C82" w:rsidR="00A02DDC" w:rsidRPr="00DF5F6D" w:rsidRDefault="00A02DDC" w:rsidP="00A02DDC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32050286" w14:textId="24781408" w:rsidR="00A02DDC" w:rsidRPr="00DF5F6D" w:rsidRDefault="00A02DDC" w:rsidP="00A02DDC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53E9E8F" w14:textId="2DA52E5B" w:rsidR="00A02DDC" w:rsidRPr="00DF5F6D" w:rsidRDefault="00A02DDC" w:rsidP="00A02DDC">
            <w:pPr>
              <w:pStyle w:val="Zpat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14:paraId="08C7DB9B" w14:textId="72F08F74" w:rsidR="00D34FAE" w:rsidRPr="00687E11" w:rsidRDefault="00D34FAE" w:rsidP="00C12FB8">
      <w:pPr>
        <w:spacing w:after="0" w:line="240" w:lineRule="auto"/>
        <w:rPr>
          <w:rFonts w:ascii="Arial" w:hAnsi="Arial" w:cs="Arial"/>
          <w:b/>
          <w:bCs/>
          <w:sz w:val="22"/>
        </w:rPr>
      </w:pPr>
    </w:p>
    <w:sectPr w:rsidR="00D34FAE" w:rsidRPr="00687E11" w:rsidSect="00615E14">
      <w:headerReference w:type="default" r:id="rId17"/>
      <w:footerReference w:type="default" r:id="rId18"/>
      <w:pgSz w:w="11906" w:h="16838"/>
      <w:pgMar w:top="720" w:right="720" w:bottom="284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EC1E" w14:textId="77777777" w:rsidR="002C54EB" w:rsidRDefault="002C54EB" w:rsidP="00605702">
      <w:pPr>
        <w:spacing w:after="0" w:line="240" w:lineRule="auto"/>
      </w:pPr>
      <w:r>
        <w:separator/>
      </w:r>
    </w:p>
  </w:endnote>
  <w:endnote w:type="continuationSeparator" w:id="0">
    <w:p w14:paraId="05F05AF1" w14:textId="77777777" w:rsidR="002C54EB" w:rsidRDefault="002C54EB" w:rsidP="0060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Nexa Text">
    <w:altName w:val="Calibri"/>
    <w:panose1 w:val="000000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exa Extra Bold">
    <w:altName w:val="Calibri"/>
    <w:panose1 w:val="000000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308350"/>
      <w:docPartObj>
        <w:docPartGallery w:val="Page Numbers (Bottom of Page)"/>
        <w:docPartUnique/>
      </w:docPartObj>
    </w:sdtPr>
    <w:sdtContent>
      <w:p w14:paraId="6AE6FB7C" w14:textId="77777777" w:rsidR="00DF71D4" w:rsidRDefault="00DF71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88">
          <w:rPr>
            <w:noProof/>
          </w:rPr>
          <w:t>1</w:t>
        </w:r>
        <w:r>
          <w:fldChar w:fldCharType="end"/>
        </w:r>
      </w:p>
    </w:sdtContent>
  </w:sdt>
  <w:p w14:paraId="3A4AA1B5" w14:textId="77777777" w:rsidR="00B273EE" w:rsidRDefault="00B273EE" w:rsidP="00A016E3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C721" w14:textId="77777777" w:rsidR="002C54EB" w:rsidRDefault="002C54EB" w:rsidP="00605702">
      <w:pPr>
        <w:spacing w:after="0" w:line="240" w:lineRule="auto"/>
      </w:pPr>
      <w:r>
        <w:separator/>
      </w:r>
    </w:p>
  </w:footnote>
  <w:footnote w:type="continuationSeparator" w:id="0">
    <w:p w14:paraId="6EF1D712" w14:textId="77777777" w:rsidR="002C54EB" w:rsidRDefault="002C54EB" w:rsidP="0060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6357" w14:textId="77777777" w:rsidR="00605702" w:rsidRPr="00A016E3" w:rsidRDefault="00C82E0C" w:rsidP="00723F0C">
    <w:pPr>
      <w:pStyle w:val="Nadpis1"/>
      <w:rPr>
        <w:rFonts w:eastAsiaTheme="minorHAnsi" w:cs="Arial"/>
        <w:color w:val="FFC832" w:themeColor="background2"/>
        <w:sz w:val="36"/>
        <w:szCs w:val="36"/>
      </w:rPr>
    </w:pPr>
    <w:r w:rsidRPr="00A016E3">
      <w:rPr>
        <w:noProof/>
        <w:color w:val="FFC832" w:themeColor="background2"/>
        <w:sz w:val="24"/>
      </w:rPr>
      <w:drawing>
        <wp:anchor distT="0" distB="0" distL="114300" distR="114300" simplePos="0" relativeHeight="251657216" behindDoc="1" locked="0" layoutInCell="1" allowOverlap="1" wp14:anchorId="0FD57729" wp14:editId="0B491240">
          <wp:simplePos x="0" y="0"/>
          <wp:positionH relativeFrom="column">
            <wp:posOffset>5199953</wp:posOffset>
          </wp:positionH>
          <wp:positionV relativeFrom="paragraph">
            <wp:posOffset>-101603</wp:posOffset>
          </wp:positionV>
          <wp:extent cx="1553919" cy="300424"/>
          <wp:effectExtent l="0" t="0" r="8255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YR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3919" cy="3004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3EE" w:rsidRPr="00A016E3">
      <w:rPr>
        <w:rFonts w:eastAsiaTheme="minorHAnsi" w:cs="Arial"/>
        <w:color w:val="FFC832" w:themeColor="background2"/>
        <w:sz w:val="18"/>
        <w:szCs w:val="36"/>
      </w:rPr>
      <w:t>Tisková zpráva</w:t>
    </w:r>
  </w:p>
  <w:p w14:paraId="13A1ECE1" w14:textId="77777777" w:rsidR="00605702" w:rsidRDefault="006057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92D"/>
    <w:multiLevelType w:val="hybridMultilevel"/>
    <w:tmpl w:val="306040F6"/>
    <w:lvl w:ilvl="0" w:tplc="9D4CE74C">
      <w:start w:val="1"/>
      <w:numFmt w:val="bullet"/>
      <w:lvlText w:val="-"/>
      <w:lvlJc w:val="left"/>
      <w:pPr>
        <w:ind w:left="770" w:hanging="360"/>
      </w:pPr>
      <w:rPr>
        <w:rFonts w:ascii="Source Sans Pro" w:hAnsi="Source Sans Pro" w:hint="default"/>
        <w:b/>
        <w:i w:val="0"/>
        <w:color w:val="F47929" w:themeColor="text2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1CF674E"/>
    <w:multiLevelType w:val="hybridMultilevel"/>
    <w:tmpl w:val="DF5206E0"/>
    <w:lvl w:ilvl="0" w:tplc="5D12D01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65D"/>
    <w:multiLevelType w:val="hybridMultilevel"/>
    <w:tmpl w:val="9726F3A4"/>
    <w:lvl w:ilvl="0" w:tplc="4E74218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F2626"/>
    <w:multiLevelType w:val="hybridMultilevel"/>
    <w:tmpl w:val="59D25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661D8"/>
    <w:multiLevelType w:val="hybridMultilevel"/>
    <w:tmpl w:val="CAA6C056"/>
    <w:lvl w:ilvl="0" w:tplc="9D4CE74C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  <w:b/>
        <w:i w:val="0"/>
        <w:color w:val="F47929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74D4D"/>
    <w:multiLevelType w:val="hybridMultilevel"/>
    <w:tmpl w:val="70FE4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019443">
    <w:abstractNumId w:val="2"/>
  </w:num>
  <w:num w:numId="2" w16cid:durableId="1965379923">
    <w:abstractNumId w:val="5"/>
  </w:num>
  <w:num w:numId="3" w16cid:durableId="752162024">
    <w:abstractNumId w:val="4"/>
  </w:num>
  <w:num w:numId="4" w16cid:durableId="1148590441">
    <w:abstractNumId w:val="0"/>
  </w:num>
  <w:num w:numId="5" w16cid:durableId="772895009">
    <w:abstractNumId w:val="3"/>
  </w:num>
  <w:num w:numId="6" w16cid:durableId="193135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21"/>
    <w:rsid w:val="0000249E"/>
    <w:rsid w:val="00017364"/>
    <w:rsid w:val="00027E93"/>
    <w:rsid w:val="0003041D"/>
    <w:rsid w:val="00036CDC"/>
    <w:rsid w:val="0004264B"/>
    <w:rsid w:val="00064842"/>
    <w:rsid w:val="00070A8C"/>
    <w:rsid w:val="00070C59"/>
    <w:rsid w:val="000845CD"/>
    <w:rsid w:val="000C0F56"/>
    <w:rsid w:val="000C10B1"/>
    <w:rsid w:val="000D7A59"/>
    <w:rsid w:val="000E0808"/>
    <w:rsid w:val="000F2A1D"/>
    <w:rsid w:val="000F5DA6"/>
    <w:rsid w:val="00103D0A"/>
    <w:rsid w:val="00111C8C"/>
    <w:rsid w:val="00144A15"/>
    <w:rsid w:val="00146048"/>
    <w:rsid w:val="001561BB"/>
    <w:rsid w:val="00160D65"/>
    <w:rsid w:val="0016519F"/>
    <w:rsid w:val="00186B8D"/>
    <w:rsid w:val="00187F8A"/>
    <w:rsid w:val="00191BD0"/>
    <w:rsid w:val="00193B47"/>
    <w:rsid w:val="001A0FE0"/>
    <w:rsid w:val="001B226C"/>
    <w:rsid w:val="001B6986"/>
    <w:rsid w:val="001C527B"/>
    <w:rsid w:val="001C718D"/>
    <w:rsid w:val="001D3007"/>
    <w:rsid w:val="001D55ED"/>
    <w:rsid w:val="001D64F6"/>
    <w:rsid w:val="001E143E"/>
    <w:rsid w:val="001F4169"/>
    <w:rsid w:val="001F64A0"/>
    <w:rsid w:val="001F6D66"/>
    <w:rsid w:val="00204B95"/>
    <w:rsid w:val="00211A3C"/>
    <w:rsid w:val="00212F91"/>
    <w:rsid w:val="00223B2E"/>
    <w:rsid w:val="00233211"/>
    <w:rsid w:val="0024127E"/>
    <w:rsid w:val="00243905"/>
    <w:rsid w:val="00265A1D"/>
    <w:rsid w:val="00295ABA"/>
    <w:rsid w:val="00295C20"/>
    <w:rsid w:val="002C49B3"/>
    <w:rsid w:val="002C54EB"/>
    <w:rsid w:val="002D1822"/>
    <w:rsid w:val="002E4D14"/>
    <w:rsid w:val="002F6117"/>
    <w:rsid w:val="00301303"/>
    <w:rsid w:val="00301506"/>
    <w:rsid w:val="00301D0F"/>
    <w:rsid w:val="00303EBA"/>
    <w:rsid w:val="0030782F"/>
    <w:rsid w:val="00317AF0"/>
    <w:rsid w:val="00317CC4"/>
    <w:rsid w:val="00320A11"/>
    <w:rsid w:val="00324AA0"/>
    <w:rsid w:val="00324D55"/>
    <w:rsid w:val="0032675A"/>
    <w:rsid w:val="00332635"/>
    <w:rsid w:val="00336DF1"/>
    <w:rsid w:val="00341F35"/>
    <w:rsid w:val="00361939"/>
    <w:rsid w:val="003673E8"/>
    <w:rsid w:val="00376BBA"/>
    <w:rsid w:val="003838B3"/>
    <w:rsid w:val="003919FE"/>
    <w:rsid w:val="003961A5"/>
    <w:rsid w:val="003B0F0D"/>
    <w:rsid w:val="003F3EEE"/>
    <w:rsid w:val="003F5326"/>
    <w:rsid w:val="003F582A"/>
    <w:rsid w:val="003F5FD8"/>
    <w:rsid w:val="00425E40"/>
    <w:rsid w:val="0044230F"/>
    <w:rsid w:val="0045101C"/>
    <w:rsid w:val="004658F3"/>
    <w:rsid w:val="0047072B"/>
    <w:rsid w:val="00470B3A"/>
    <w:rsid w:val="00475FDF"/>
    <w:rsid w:val="00486C3C"/>
    <w:rsid w:val="004928ED"/>
    <w:rsid w:val="00495056"/>
    <w:rsid w:val="004C1B95"/>
    <w:rsid w:val="004E4CDD"/>
    <w:rsid w:val="004E7844"/>
    <w:rsid w:val="004F0295"/>
    <w:rsid w:val="004F5DBF"/>
    <w:rsid w:val="00506669"/>
    <w:rsid w:val="00514C76"/>
    <w:rsid w:val="00535742"/>
    <w:rsid w:val="0054078D"/>
    <w:rsid w:val="00540CD5"/>
    <w:rsid w:val="00544154"/>
    <w:rsid w:val="00552B9C"/>
    <w:rsid w:val="00566B62"/>
    <w:rsid w:val="0056741B"/>
    <w:rsid w:val="00571E21"/>
    <w:rsid w:val="00575991"/>
    <w:rsid w:val="0058125D"/>
    <w:rsid w:val="005A5DCB"/>
    <w:rsid w:val="005B4DB8"/>
    <w:rsid w:val="005B656C"/>
    <w:rsid w:val="005C3C89"/>
    <w:rsid w:val="005C7D99"/>
    <w:rsid w:val="005D07B7"/>
    <w:rsid w:val="005D0D52"/>
    <w:rsid w:val="005D3E78"/>
    <w:rsid w:val="005E7066"/>
    <w:rsid w:val="00603F16"/>
    <w:rsid w:val="00605702"/>
    <w:rsid w:val="00615E14"/>
    <w:rsid w:val="00623131"/>
    <w:rsid w:val="006262F8"/>
    <w:rsid w:val="006420B6"/>
    <w:rsid w:val="006716DF"/>
    <w:rsid w:val="00676F4E"/>
    <w:rsid w:val="00687909"/>
    <w:rsid w:val="00687E11"/>
    <w:rsid w:val="006A0814"/>
    <w:rsid w:val="006A0DCD"/>
    <w:rsid w:val="006A7344"/>
    <w:rsid w:val="006B4EA2"/>
    <w:rsid w:val="006B656D"/>
    <w:rsid w:val="006B6EE7"/>
    <w:rsid w:val="006C4982"/>
    <w:rsid w:val="006C56E1"/>
    <w:rsid w:val="006D4A78"/>
    <w:rsid w:val="006E2AE2"/>
    <w:rsid w:val="006F5D66"/>
    <w:rsid w:val="006F71E9"/>
    <w:rsid w:val="00701CB4"/>
    <w:rsid w:val="00711950"/>
    <w:rsid w:val="00723F0C"/>
    <w:rsid w:val="007435DF"/>
    <w:rsid w:val="00746801"/>
    <w:rsid w:val="0075200C"/>
    <w:rsid w:val="00762C38"/>
    <w:rsid w:val="00773EDD"/>
    <w:rsid w:val="007750DB"/>
    <w:rsid w:val="007769EB"/>
    <w:rsid w:val="00776D65"/>
    <w:rsid w:val="0078156A"/>
    <w:rsid w:val="00785734"/>
    <w:rsid w:val="00790372"/>
    <w:rsid w:val="00793FE8"/>
    <w:rsid w:val="007A1101"/>
    <w:rsid w:val="007A6A6C"/>
    <w:rsid w:val="007E0E69"/>
    <w:rsid w:val="007E58EA"/>
    <w:rsid w:val="007F0DE5"/>
    <w:rsid w:val="007F3359"/>
    <w:rsid w:val="007F4FFC"/>
    <w:rsid w:val="007F6264"/>
    <w:rsid w:val="008125F8"/>
    <w:rsid w:val="00817A8C"/>
    <w:rsid w:val="00824678"/>
    <w:rsid w:val="008256F5"/>
    <w:rsid w:val="008274D4"/>
    <w:rsid w:val="008448FB"/>
    <w:rsid w:val="00855F15"/>
    <w:rsid w:val="008969A5"/>
    <w:rsid w:val="008A2CA2"/>
    <w:rsid w:val="008A5174"/>
    <w:rsid w:val="008B02AC"/>
    <w:rsid w:val="008B6C25"/>
    <w:rsid w:val="008C5F7F"/>
    <w:rsid w:val="008E73EF"/>
    <w:rsid w:val="008F645B"/>
    <w:rsid w:val="00924009"/>
    <w:rsid w:val="009257A9"/>
    <w:rsid w:val="00925CE1"/>
    <w:rsid w:val="00931347"/>
    <w:rsid w:val="00962FC3"/>
    <w:rsid w:val="00963784"/>
    <w:rsid w:val="00963A8D"/>
    <w:rsid w:val="00984773"/>
    <w:rsid w:val="00991FD8"/>
    <w:rsid w:val="009A0C8C"/>
    <w:rsid w:val="009A1CD3"/>
    <w:rsid w:val="009A29D7"/>
    <w:rsid w:val="009B7B58"/>
    <w:rsid w:val="009C26BD"/>
    <w:rsid w:val="009C3F94"/>
    <w:rsid w:val="009D0819"/>
    <w:rsid w:val="009D4FCD"/>
    <w:rsid w:val="009D64A8"/>
    <w:rsid w:val="009D6AC6"/>
    <w:rsid w:val="009E5926"/>
    <w:rsid w:val="009E6B2F"/>
    <w:rsid w:val="009F1029"/>
    <w:rsid w:val="00A016E3"/>
    <w:rsid w:val="00A02DDC"/>
    <w:rsid w:val="00A26181"/>
    <w:rsid w:val="00A31020"/>
    <w:rsid w:val="00A4638B"/>
    <w:rsid w:val="00A529DE"/>
    <w:rsid w:val="00A5320B"/>
    <w:rsid w:val="00A574B8"/>
    <w:rsid w:val="00A605BF"/>
    <w:rsid w:val="00A81D76"/>
    <w:rsid w:val="00A82C63"/>
    <w:rsid w:val="00A85AC5"/>
    <w:rsid w:val="00A979D0"/>
    <w:rsid w:val="00AA03A2"/>
    <w:rsid w:val="00AB1AB4"/>
    <w:rsid w:val="00AB5F97"/>
    <w:rsid w:val="00AB7861"/>
    <w:rsid w:val="00AB7D0D"/>
    <w:rsid w:val="00AC29ED"/>
    <w:rsid w:val="00AC6503"/>
    <w:rsid w:val="00AE7AD7"/>
    <w:rsid w:val="00B07918"/>
    <w:rsid w:val="00B11077"/>
    <w:rsid w:val="00B14102"/>
    <w:rsid w:val="00B206EC"/>
    <w:rsid w:val="00B21A4C"/>
    <w:rsid w:val="00B2254D"/>
    <w:rsid w:val="00B226D4"/>
    <w:rsid w:val="00B2355E"/>
    <w:rsid w:val="00B25CD9"/>
    <w:rsid w:val="00B273EE"/>
    <w:rsid w:val="00B30D9F"/>
    <w:rsid w:val="00B47089"/>
    <w:rsid w:val="00B50EEB"/>
    <w:rsid w:val="00B52FEC"/>
    <w:rsid w:val="00B61489"/>
    <w:rsid w:val="00B70D82"/>
    <w:rsid w:val="00B7286F"/>
    <w:rsid w:val="00B82DFC"/>
    <w:rsid w:val="00BC5F69"/>
    <w:rsid w:val="00C12FB8"/>
    <w:rsid w:val="00C14E64"/>
    <w:rsid w:val="00C16EFA"/>
    <w:rsid w:val="00C340FD"/>
    <w:rsid w:val="00C3410B"/>
    <w:rsid w:val="00C4686E"/>
    <w:rsid w:val="00C506E3"/>
    <w:rsid w:val="00C53586"/>
    <w:rsid w:val="00C53BDC"/>
    <w:rsid w:val="00C70420"/>
    <w:rsid w:val="00C7046C"/>
    <w:rsid w:val="00C70943"/>
    <w:rsid w:val="00C73085"/>
    <w:rsid w:val="00C756E6"/>
    <w:rsid w:val="00C81A45"/>
    <w:rsid w:val="00C82E0C"/>
    <w:rsid w:val="00C8580B"/>
    <w:rsid w:val="00C90383"/>
    <w:rsid w:val="00CA54C9"/>
    <w:rsid w:val="00CC1205"/>
    <w:rsid w:val="00CD033C"/>
    <w:rsid w:val="00CD56CF"/>
    <w:rsid w:val="00CE5C58"/>
    <w:rsid w:val="00CE6EA9"/>
    <w:rsid w:val="00CF0E64"/>
    <w:rsid w:val="00CF3BE7"/>
    <w:rsid w:val="00D019FE"/>
    <w:rsid w:val="00D01AF4"/>
    <w:rsid w:val="00D0722D"/>
    <w:rsid w:val="00D200D0"/>
    <w:rsid w:val="00D22348"/>
    <w:rsid w:val="00D22F25"/>
    <w:rsid w:val="00D34FAE"/>
    <w:rsid w:val="00D3780E"/>
    <w:rsid w:val="00D40DFC"/>
    <w:rsid w:val="00D53901"/>
    <w:rsid w:val="00D54265"/>
    <w:rsid w:val="00D55EDA"/>
    <w:rsid w:val="00D5651C"/>
    <w:rsid w:val="00D569AD"/>
    <w:rsid w:val="00D73D58"/>
    <w:rsid w:val="00D81743"/>
    <w:rsid w:val="00D81921"/>
    <w:rsid w:val="00D8229C"/>
    <w:rsid w:val="00D85F08"/>
    <w:rsid w:val="00D86B39"/>
    <w:rsid w:val="00D93C41"/>
    <w:rsid w:val="00D96ED3"/>
    <w:rsid w:val="00DA000E"/>
    <w:rsid w:val="00DB7560"/>
    <w:rsid w:val="00DC22DE"/>
    <w:rsid w:val="00DE0A2E"/>
    <w:rsid w:val="00DE0EDC"/>
    <w:rsid w:val="00DE1044"/>
    <w:rsid w:val="00DF3A1C"/>
    <w:rsid w:val="00DF567F"/>
    <w:rsid w:val="00DF5F6D"/>
    <w:rsid w:val="00DF5FD3"/>
    <w:rsid w:val="00DF71D4"/>
    <w:rsid w:val="00E02BF3"/>
    <w:rsid w:val="00E15B87"/>
    <w:rsid w:val="00E245CA"/>
    <w:rsid w:val="00E26494"/>
    <w:rsid w:val="00E402D4"/>
    <w:rsid w:val="00E41E79"/>
    <w:rsid w:val="00E4423E"/>
    <w:rsid w:val="00E470A3"/>
    <w:rsid w:val="00E52231"/>
    <w:rsid w:val="00E55539"/>
    <w:rsid w:val="00E72F8B"/>
    <w:rsid w:val="00E7368C"/>
    <w:rsid w:val="00E75311"/>
    <w:rsid w:val="00E7721E"/>
    <w:rsid w:val="00E81C6E"/>
    <w:rsid w:val="00E8646E"/>
    <w:rsid w:val="00E87D7D"/>
    <w:rsid w:val="00E9750B"/>
    <w:rsid w:val="00EA3D92"/>
    <w:rsid w:val="00EA441F"/>
    <w:rsid w:val="00EA796B"/>
    <w:rsid w:val="00EC6888"/>
    <w:rsid w:val="00EC7681"/>
    <w:rsid w:val="00EC7711"/>
    <w:rsid w:val="00EC7740"/>
    <w:rsid w:val="00EF74A0"/>
    <w:rsid w:val="00F13266"/>
    <w:rsid w:val="00F31081"/>
    <w:rsid w:val="00F40656"/>
    <w:rsid w:val="00F47B7D"/>
    <w:rsid w:val="00F57124"/>
    <w:rsid w:val="00F57DD0"/>
    <w:rsid w:val="00F64C4C"/>
    <w:rsid w:val="00F660B2"/>
    <w:rsid w:val="00F6759D"/>
    <w:rsid w:val="00F677EA"/>
    <w:rsid w:val="00F83599"/>
    <w:rsid w:val="00FA3326"/>
    <w:rsid w:val="00FB4D7D"/>
    <w:rsid w:val="00FB6702"/>
    <w:rsid w:val="00FB75B3"/>
    <w:rsid w:val="00FD6504"/>
    <w:rsid w:val="00FD6DD5"/>
    <w:rsid w:val="00FF569F"/>
    <w:rsid w:val="00FF7B52"/>
    <w:rsid w:val="094D3730"/>
    <w:rsid w:val="0B5AA02D"/>
    <w:rsid w:val="0B6123AB"/>
    <w:rsid w:val="127B60F0"/>
    <w:rsid w:val="28B87557"/>
    <w:rsid w:val="3A29F858"/>
    <w:rsid w:val="3D6935BE"/>
    <w:rsid w:val="3FD4AD54"/>
    <w:rsid w:val="446B20BC"/>
    <w:rsid w:val="51225BF8"/>
    <w:rsid w:val="5348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2B11A"/>
  <w15:chartTrackingRefBased/>
  <w15:docId w15:val="{A3312B07-0F1F-4A3C-8DFD-7EE6407E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1D4"/>
    <w:rPr>
      <w:rFonts w:ascii="Verdana" w:hAnsi="Verdana"/>
      <w:sz w:val="18"/>
    </w:rPr>
  </w:style>
  <w:style w:type="paragraph" w:styleId="Nadpis1">
    <w:name w:val="heading 1"/>
    <w:basedOn w:val="Normln"/>
    <w:link w:val="Nadpis1Char"/>
    <w:uiPriority w:val="9"/>
    <w:qFormat/>
    <w:rsid w:val="00DF71D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71D4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71D4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6D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550A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1D4"/>
    <w:rPr>
      <w:rFonts w:ascii="Verdana" w:eastAsia="Times New Roman" w:hAnsi="Verdana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6D65"/>
    <w:rPr>
      <w:color w:val="003C73" w:themeColor="hyperlink"/>
      <w:u w:val="single"/>
    </w:rPr>
  </w:style>
  <w:style w:type="character" w:styleId="Siln">
    <w:name w:val="Strong"/>
    <w:basedOn w:val="Standardnpsmoodstavce"/>
    <w:uiPriority w:val="22"/>
    <w:qFormat/>
    <w:rsid w:val="00DF71D4"/>
    <w:rPr>
      <w:rFonts w:ascii="Verdana" w:hAnsi="Verdana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F71D4"/>
    <w:rPr>
      <w:rFonts w:ascii="Verdana" w:eastAsiaTheme="majorEastAsia" w:hAnsi="Verdana" w:cstheme="majorBidi"/>
      <w:b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D65"/>
    <w:rPr>
      <w:rFonts w:asciiTheme="majorHAnsi" w:eastAsiaTheme="majorEastAsia" w:hAnsiTheme="majorHAnsi" w:cstheme="majorBidi"/>
      <w:i/>
      <w:iCs/>
      <w:color w:val="CA550A" w:themeColor="accent1" w:themeShade="BF"/>
    </w:rPr>
  </w:style>
  <w:style w:type="paragraph" w:styleId="Odstavecseseznamem">
    <w:name w:val="List Paragraph"/>
    <w:basedOn w:val="Normln"/>
    <w:uiPriority w:val="34"/>
    <w:qFormat/>
    <w:rsid w:val="00776D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702"/>
  </w:style>
  <w:style w:type="paragraph" w:styleId="Zpat">
    <w:name w:val="footer"/>
    <w:basedOn w:val="Normln"/>
    <w:link w:val="ZpatChar"/>
    <w:uiPriority w:val="99"/>
    <w:unhideWhenUsed/>
    <w:rsid w:val="0060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702"/>
  </w:style>
  <w:style w:type="character" w:customStyle="1" w:styleId="Nadpis3Char">
    <w:name w:val="Nadpis 3 Char"/>
    <w:basedOn w:val="Standardnpsmoodstavce"/>
    <w:link w:val="Nadpis3"/>
    <w:uiPriority w:val="9"/>
    <w:rsid w:val="00DF71D4"/>
    <w:rPr>
      <w:rFonts w:ascii="Verdana" w:eastAsiaTheme="majorEastAsia" w:hAnsi="Verdana" w:cstheme="majorBidi"/>
      <w:b/>
      <w:sz w:val="24"/>
      <w:szCs w:val="24"/>
    </w:rPr>
  </w:style>
  <w:style w:type="paragraph" w:styleId="Bezmezer">
    <w:name w:val="No Spacing"/>
    <w:uiPriority w:val="1"/>
    <w:qFormat/>
    <w:rsid w:val="00DF71D4"/>
    <w:pPr>
      <w:spacing w:after="0" w:line="240" w:lineRule="auto"/>
    </w:pPr>
    <w:rPr>
      <w:rFonts w:ascii="Verdana" w:hAnsi="Verdana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DF71D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71D4"/>
    <w:rPr>
      <w:rFonts w:ascii="Verdana" w:eastAsiaTheme="majorEastAsia" w:hAnsi="Verdana" w:cstheme="majorBidi"/>
      <w:b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CC4"/>
    <w:pPr>
      <w:pBdr>
        <w:top w:val="single" w:sz="18" w:space="10" w:color="FFC832" w:themeColor="background2"/>
        <w:left w:val="single" w:sz="18" w:space="4" w:color="FFC832" w:themeColor="background2"/>
        <w:bottom w:val="single" w:sz="18" w:space="10" w:color="FFC832" w:themeColor="background2"/>
        <w:right w:val="single" w:sz="18" w:space="4" w:color="FFC832" w:themeColor="background2"/>
      </w:pBdr>
      <w:shd w:val="clear" w:color="auto" w:fill="FFC832" w:themeFill="background2"/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CC4"/>
    <w:rPr>
      <w:i/>
      <w:iCs/>
      <w:color w:val="000000" w:themeColor="text1"/>
      <w:shd w:val="clear" w:color="auto" w:fill="FFC832" w:themeFill="background2"/>
    </w:rPr>
  </w:style>
  <w:style w:type="character" w:styleId="Odkazintenzivn">
    <w:name w:val="Intense Reference"/>
    <w:basedOn w:val="Standardnpsmoodstavce"/>
    <w:uiPriority w:val="32"/>
    <w:qFormat/>
    <w:rsid w:val="00DF71D4"/>
    <w:rPr>
      <w:rFonts w:ascii="Verdana" w:hAnsi="Verdana"/>
      <w:b/>
      <w:bCs/>
      <w:smallCaps/>
      <w:color w:val="F4792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DF71D4"/>
    <w:rPr>
      <w:rFonts w:ascii="Verdana" w:hAnsi="Verdana"/>
      <w:smallCaps/>
      <w:color w:val="5A5A5A" w:themeColor="text1" w:themeTint="A5"/>
    </w:rPr>
  </w:style>
  <w:style w:type="table" w:styleId="Mkatabulky">
    <w:name w:val="Table Grid"/>
    <w:basedOn w:val="Normlntabulka"/>
    <w:uiPriority w:val="39"/>
    <w:rsid w:val="0089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DF71D4"/>
    <w:rPr>
      <w:rFonts w:ascii="Verdana" w:hAnsi="Verdana"/>
      <w:i/>
      <w:iCs/>
      <w:color w:val="F47929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5E14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15E1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DF71D4"/>
    <w:rPr>
      <w:rFonts w:ascii="Verdana" w:hAnsi="Verdana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DF71D4"/>
    <w:rPr>
      <w:rFonts w:ascii="Verdana" w:hAnsi="Verdana"/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DF71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71D4"/>
    <w:rPr>
      <w:rFonts w:ascii="Verdana" w:hAnsi="Verdana"/>
      <w:i/>
      <w:iCs/>
      <w:color w:val="404040" w:themeColor="text1" w:themeTint="BF"/>
      <w:sz w:val="18"/>
    </w:rPr>
  </w:style>
  <w:style w:type="character" w:styleId="Nzevknihy">
    <w:name w:val="Book Title"/>
    <w:basedOn w:val="Standardnpsmoodstavce"/>
    <w:uiPriority w:val="33"/>
    <w:qFormat/>
    <w:rsid w:val="00DF71D4"/>
    <w:rPr>
      <w:rFonts w:ascii="Verdana" w:hAnsi="Verdana"/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sid w:val="00D81921"/>
    <w:rPr>
      <w:color w:val="00284E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3B47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3B4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658F3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E2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C3F94"/>
    <w:pPr>
      <w:spacing w:after="0" w:line="240" w:lineRule="auto"/>
    </w:pPr>
    <w:rPr>
      <w:rFonts w:ascii="Verdana" w:hAnsi="Verdana"/>
      <w:sz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3BDC"/>
    <w:rPr>
      <w:rFonts w:ascii="Verdana" w:hAnsi="Verdan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BDC"/>
    <w:rPr>
      <w:rFonts w:ascii="Verdana" w:hAnsi="Verdana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924009"/>
  </w:style>
  <w:style w:type="character" w:styleId="Nevyeenzmnka">
    <w:name w:val="Unresolved Mention"/>
    <w:basedOn w:val="Standardnpsmoodstavce"/>
    <w:uiPriority w:val="99"/>
    <w:semiHidden/>
    <w:unhideWhenUsed/>
    <w:rsid w:val="00924009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5326"/>
    <w:pPr>
      <w:spacing w:after="0" w:line="240" w:lineRule="auto"/>
    </w:pPr>
    <w:rPr>
      <w:rFonts w:ascii="Calibri" w:hAnsi="Calibr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5326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yrrus.cz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drive/folders/1vJynKESL_uoi_KOQQVqono-903qtLnsU?usp=shari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tel:+42077570506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drive/folders/1gDkeWiLU3qJzaTgRJrZ8pGLI6RAL4CKL?usp=shari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%20H&#225;&#353;ov&#225;\AppData\Local\Microsoft\Windows\INetCache\Content.Outlook\3UKEPCA5\TZ_CYRRUS-sablona-2022.dotx" TargetMode="External"/></Relationships>
</file>

<file path=word/theme/theme1.xml><?xml version="1.0" encoding="utf-8"?>
<a:theme xmlns:a="http://schemas.openxmlformats.org/drawingml/2006/main" name="Motiv Office">
  <a:themeElements>
    <a:clrScheme name="CYRRUS 2021">
      <a:dk1>
        <a:srgbClr val="000000"/>
      </a:dk1>
      <a:lt1>
        <a:sysClr val="window" lastClr="FFFFFF"/>
      </a:lt1>
      <a:dk2>
        <a:srgbClr val="F47929"/>
      </a:dk2>
      <a:lt2>
        <a:srgbClr val="FFC832"/>
      </a:lt2>
      <a:accent1>
        <a:srgbClr val="F47929"/>
      </a:accent1>
      <a:accent2>
        <a:srgbClr val="FFC832"/>
      </a:accent2>
      <a:accent3>
        <a:srgbClr val="036531"/>
      </a:accent3>
      <a:accent4>
        <a:srgbClr val="AF251A"/>
      </a:accent4>
      <a:accent5>
        <a:srgbClr val="B78A17"/>
      </a:accent5>
      <a:accent6>
        <a:srgbClr val="917F5F"/>
      </a:accent6>
      <a:hlink>
        <a:srgbClr val="003C73"/>
      </a:hlink>
      <a:folHlink>
        <a:srgbClr val="00284E"/>
      </a:folHlink>
    </a:clrScheme>
    <a:fontScheme name="CYRRUS 2021">
      <a:majorFont>
        <a:latin typeface="Nexa Extra Bold"/>
        <a:ea typeface=""/>
        <a:cs typeface=""/>
      </a:majorFont>
      <a:minorFont>
        <a:latin typeface="Nexa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SharedWithUsers xmlns="8b8775cd-cb9a-4824-a228-d043804fb9c1">
      <UserInfo>
        <DisplayName>Petra Kopecká</DisplayName>
        <AccountId>12</AccountId>
        <AccountType/>
      </UserInfo>
      <UserInfo>
        <DisplayName>Matouš Dvořák</DisplayName>
        <AccountId>162</AccountId>
        <AccountType/>
      </UserInfo>
    </SharedWithUsers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752D732E-5A18-4A58-9FB7-FAC1551B7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162D9-8A40-449F-B061-01FE854CE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5ADFF-B6AB-4F7C-8CBF-3AB2449F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4EC99-4D8C-4D3B-B905-8805E1ADB8FB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TZ_CYRRUS-sablona-2022</Template>
  <TotalTime>2</TotalTime>
  <Pages>3</Pages>
  <Words>1032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Hášová</dc:creator>
  <cp:keywords/>
  <dc:description/>
  <cp:lastModifiedBy>Václav Junek</cp:lastModifiedBy>
  <cp:revision>4</cp:revision>
  <cp:lastPrinted>2023-09-22T07:15:00Z</cp:lastPrinted>
  <dcterms:created xsi:type="dcterms:W3CDTF">2026-02-05T08:54:00Z</dcterms:created>
  <dcterms:modified xsi:type="dcterms:W3CDTF">2026-02-05T10:43:00Z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