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FAF0D" w14:textId="77777777" w:rsidR="006C0694" w:rsidRPr="0085622D" w:rsidRDefault="006C0694" w:rsidP="00C00401">
      <w:pPr>
        <w:rPr>
          <w:rFonts w:cs="Open Sans"/>
        </w:rPr>
      </w:pPr>
    </w:p>
    <w:p w14:paraId="0744E5FA" w14:textId="72683A00" w:rsidR="00BE39AB" w:rsidRDefault="00A04690" w:rsidP="00A62FB4">
      <w:pPr>
        <w:rPr>
          <w:rFonts w:cs="Open Sans"/>
          <w:b/>
          <w:bCs/>
          <w:sz w:val="32"/>
          <w:szCs w:val="32"/>
        </w:rPr>
      </w:pPr>
      <w:r w:rsidRPr="00A04690">
        <w:rPr>
          <w:rFonts w:cs="Open Sans"/>
          <w:b/>
          <w:bCs/>
          <w:sz w:val="32"/>
          <w:szCs w:val="32"/>
        </w:rPr>
        <w:t>Investiční abeceda: vysvětlení rozdílů mezi ETF, ETC a ETN</w:t>
      </w:r>
    </w:p>
    <w:p w14:paraId="7C6BCC14" w14:textId="29A52E85" w:rsidR="00720EA3" w:rsidRDefault="00581AC6" w:rsidP="00D04D47">
      <w:pPr>
        <w:rPr>
          <w:rFonts w:cs="Open Sans"/>
          <w:b/>
          <w:bCs/>
        </w:rPr>
      </w:pPr>
      <w:r>
        <w:rPr>
          <w:rFonts w:cs="Open Sans"/>
          <w:b/>
          <w:bCs/>
        </w:rPr>
        <w:t xml:space="preserve">Praha </w:t>
      </w:r>
      <w:r w:rsidR="000B799B">
        <w:rPr>
          <w:rFonts w:cs="Open Sans"/>
          <w:b/>
          <w:bCs/>
        </w:rPr>
        <w:t>23</w:t>
      </w:r>
      <w:r>
        <w:rPr>
          <w:rFonts w:cs="Open Sans"/>
          <w:b/>
          <w:bCs/>
        </w:rPr>
        <w:t xml:space="preserve">. </w:t>
      </w:r>
      <w:r w:rsidR="002E6475">
        <w:rPr>
          <w:rFonts w:cs="Open Sans"/>
          <w:b/>
          <w:bCs/>
        </w:rPr>
        <w:t>října</w:t>
      </w:r>
      <w:r>
        <w:rPr>
          <w:rFonts w:cs="Open Sans"/>
          <w:b/>
          <w:bCs/>
        </w:rPr>
        <w:t xml:space="preserve"> 202</w:t>
      </w:r>
      <w:r w:rsidR="0075473B">
        <w:rPr>
          <w:rFonts w:cs="Open Sans"/>
          <w:b/>
          <w:bCs/>
        </w:rPr>
        <w:t>5</w:t>
      </w:r>
      <w:r>
        <w:rPr>
          <w:rFonts w:cs="Open Sans"/>
          <w:b/>
          <w:bCs/>
        </w:rPr>
        <w:t xml:space="preserve"> </w:t>
      </w:r>
      <w:r w:rsidR="006261F9">
        <w:rPr>
          <w:rFonts w:cs="Open Sans"/>
          <w:b/>
          <w:bCs/>
        </w:rPr>
        <w:t>–</w:t>
      </w:r>
      <w:r w:rsidR="00C904BE">
        <w:rPr>
          <w:rFonts w:cs="Open Sans"/>
          <w:b/>
          <w:bCs/>
        </w:rPr>
        <w:t xml:space="preserve"> </w:t>
      </w:r>
      <w:r w:rsidR="00116AFB" w:rsidRPr="00116AFB">
        <w:rPr>
          <w:rFonts w:cs="Open Sans"/>
          <w:b/>
          <w:bCs/>
        </w:rPr>
        <w:t>Investování už dávno není jen o nákupu akcií nebo držení podílových fondů. Díky moderním finančním nástrojům m</w:t>
      </w:r>
      <w:r w:rsidR="00415388">
        <w:rPr>
          <w:rFonts w:cs="Open Sans"/>
          <w:b/>
          <w:bCs/>
        </w:rPr>
        <w:t>ůže každý</w:t>
      </w:r>
      <w:r w:rsidR="00116AFB" w:rsidRPr="00116AFB">
        <w:rPr>
          <w:rFonts w:cs="Open Sans"/>
          <w:b/>
          <w:bCs/>
        </w:rPr>
        <w:t xml:space="preserve"> investo</w:t>
      </w:r>
      <w:r w:rsidR="00415388">
        <w:rPr>
          <w:rFonts w:cs="Open Sans"/>
          <w:b/>
          <w:bCs/>
        </w:rPr>
        <w:t>r</w:t>
      </w:r>
      <w:r w:rsidR="00116AFB" w:rsidRPr="00116AFB">
        <w:rPr>
          <w:rFonts w:cs="Open Sans"/>
          <w:b/>
          <w:bCs/>
        </w:rPr>
        <w:t xml:space="preserve"> jednoduše sledovat vývoj celých trhů, komodit nebo třeba kryptoměn – a to prostřednictvím produktů obchodovaných na burze. Tyto produkty, označované zkratkami jako ETF, ETC nebo ETN, nabízejí různé možnosti i rizika, která je dobré znát, než se pro některý z nich rozhodnete.</w:t>
      </w:r>
    </w:p>
    <w:p w14:paraId="12D1D616" w14:textId="53F64D2A" w:rsidR="00116AFB" w:rsidRDefault="00116AFB" w:rsidP="00D04D47">
      <w:pPr>
        <w:rPr>
          <w:rFonts w:cs="Open Sans"/>
        </w:rPr>
      </w:pPr>
      <w:r w:rsidRPr="00116AFB">
        <w:rPr>
          <w:rFonts w:cs="Open Sans"/>
        </w:rPr>
        <w:t xml:space="preserve">V posledních letech roste zájem drobných investorů o burzovně obchodované produkty (ETP – Exchange-Traded Products), které umožňují investovat podobně jako do akcií, ale s výrazně širším záběrem. Pod tuto kategorii spadají fondy </w:t>
      </w:r>
      <w:r w:rsidRPr="008A24A7">
        <w:rPr>
          <w:rFonts w:cs="Open Sans"/>
          <w:b/>
          <w:bCs/>
        </w:rPr>
        <w:t>ETF</w:t>
      </w:r>
      <w:r w:rsidRPr="00116AFB">
        <w:rPr>
          <w:rFonts w:cs="Open Sans"/>
        </w:rPr>
        <w:t xml:space="preserve">, komoditní certifikáty </w:t>
      </w:r>
      <w:r w:rsidRPr="008A24A7">
        <w:rPr>
          <w:rFonts w:cs="Open Sans"/>
          <w:b/>
          <w:bCs/>
        </w:rPr>
        <w:t>ETC</w:t>
      </w:r>
      <w:r w:rsidRPr="00116AFB">
        <w:rPr>
          <w:rFonts w:cs="Open Sans"/>
        </w:rPr>
        <w:t xml:space="preserve"> a strukturované dluhopisy </w:t>
      </w:r>
      <w:r w:rsidRPr="008A24A7">
        <w:rPr>
          <w:rFonts w:cs="Open Sans"/>
          <w:b/>
          <w:bCs/>
        </w:rPr>
        <w:t>ETN</w:t>
      </w:r>
      <w:r w:rsidRPr="00116AFB">
        <w:rPr>
          <w:rFonts w:cs="Open Sans"/>
        </w:rPr>
        <w:t>. Přestože mají podobný způsob obchodování, liší se svým fungováním, riziky i regulací.</w:t>
      </w:r>
    </w:p>
    <w:p w14:paraId="00DDBE51" w14:textId="50BA9A52" w:rsidR="00116AFB" w:rsidRDefault="00FD7515" w:rsidP="00D04D47">
      <w:pPr>
        <w:rPr>
          <w:rFonts w:cs="Open Sans"/>
        </w:rPr>
      </w:pPr>
      <w:r w:rsidRPr="00FD7515">
        <w:rPr>
          <w:rFonts w:cs="Open Sans"/>
        </w:rPr>
        <w:t xml:space="preserve">Mezi nejrozšířenější burzovně obchodované produkty patří </w:t>
      </w:r>
      <w:r w:rsidRPr="00FD7515">
        <w:rPr>
          <w:rFonts w:cs="Open Sans"/>
          <w:b/>
          <w:bCs/>
        </w:rPr>
        <w:t>ETF</w:t>
      </w:r>
      <w:r w:rsidRPr="00FD7515">
        <w:rPr>
          <w:rFonts w:cs="Open Sans"/>
        </w:rPr>
        <w:t xml:space="preserve"> </w:t>
      </w:r>
      <w:r w:rsidRPr="00FD7515">
        <w:rPr>
          <w:rFonts w:cs="Open Sans"/>
          <w:b/>
          <w:bCs/>
        </w:rPr>
        <w:t>(Exchange-Traded Funds)</w:t>
      </w:r>
      <w:r w:rsidRPr="00FD7515">
        <w:rPr>
          <w:rFonts w:cs="Open Sans"/>
        </w:rPr>
        <w:t>, tedy fondy, které sledují vývoj celých trhů a umožňují investovat do desítek či stovek firem najednou.</w:t>
      </w:r>
      <w:r w:rsidRPr="00FD7515">
        <w:rPr>
          <w:rFonts w:cs="Open Sans"/>
          <w:i/>
          <w:iCs/>
        </w:rPr>
        <w:t xml:space="preserve"> </w:t>
      </w:r>
      <w:r w:rsidR="00116AFB" w:rsidRPr="00116AFB">
        <w:rPr>
          <w:rFonts w:cs="Open Sans"/>
          <w:i/>
          <w:iCs/>
        </w:rPr>
        <w:t>„</w:t>
      </w:r>
      <w:r w:rsidR="00116AFB" w:rsidRPr="00FD7515">
        <w:rPr>
          <w:rFonts w:cs="Open Sans"/>
          <w:i/>
          <w:iCs/>
        </w:rPr>
        <w:t>ETF</w:t>
      </w:r>
      <w:r w:rsidR="00116AFB" w:rsidRPr="00116AFB">
        <w:rPr>
          <w:rFonts w:cs="Open Sans"/>
          <w:i/>
          <w:iCs/>
        </w:rPr>
        <w:t xml:space="preserve"> jsou ideální pro investory, kteří chtějí jednoduše a levně investovat do akciových nebo dluhopisových trhů. Sledují vývoj vybraného indexu, například S&amp;P 500 nebo MSCI World</w:t>
      </w:r>
      <w:r w:rsidR="002E36A6">
        <w:rPr>
          <w:rFonts w:cs="Open Sans"/>
          <w:i/>
          <w:iCs/>
        </w:rPr>
        <w:t xml:space="preserve">. </w:t>
      </w:r>
      <w:r w:rsidR="002E36A6" w:rsidRPr="002E36A6">
        <w:rPr>
          <w:rFonts w:cs="Open Sans"/>
          <w:i/>
          <w:iCs/>
        </w:rPr>
        <w:t>Napodobují</w:t>
      </w:r>
      <w:r w:rsidR="002E36A6">
        <w:rPr>
          <w:rFonts w:cs="Open Sans"/>
          <w:i/>
          <w:iCs/>
        </w:rPr>
        <w:t xml:space="preserve"> tak</w:t>
      </w:r>
      <w:r w:rsidR="002E36A6" w:rsidRPr="002E36A6">
        <w:rPr>
          <w:rFonts w:cs="Open Sans"/>
          <w:i/>
          <w:iCs/>
        </w:rPr>
        <w:t xml:space="preserve"> vývoj hlavních akciových trhů a díky rozložení investic do mnoha společností pomáhají omezit riziko.</w:t>
      </w:r>
      <w:r w:rsidR="00116AFB" w:rsidRPr="00116AFB">
        <w:rPr>
          <w:rFonts w:cs="Open Sans"/>
          <w:i/>
          <w:iCs/>
        </w:rPr>
        <w:t>“</w:t>
      </w:r>
      <w:r w:rsidR="00116AFB" w:rsidRPr="00116AFB">
        <w:rPr>
          <w:rFonts w:cs="Open Sans"/>
        </w:rPr>
        <w:t xml:space="preserve"> vysvětluje Jiří Fajt, investiční specialista ze společnosti FinGO. Dodává, že v Evropské unii většina ETF podléhá přísné regulaci UCITS</w:t>
      </w:r>
      <w:r w:rsidR="007C718C">
        <w:rPr>
          <w:rFonts w:cs="Open Sans"/>
        </w:rPr>
        <w:t xml:space="preserve"> (</w:t>
      </w:r>
      <w:r w:rsidR="007C718C" w:rsidRPr="007C718C">
        <w:rPr>
          <w:rFonts w:cs="Open Sans"/>
        </w:rPr>
        <w:t>soubor pravidel EU zajišťující bezpečnost a dohled nad fondy</w:t>
      </w:r>
      <w:r w:rsidR="007C718C">
        <w:rPr>
          <w:rFonts w:cs="Open Sans"/>
        </w:rPr>
        <w:t>)</w:t>
      </w:r>
      <w:r w:rsidR="00116AFB" w:rsidRPr="00116AFB">
        <w:rPr>
          <w:rFonts w:cs="Open Sans"/>
        </w:rPr>
        <w:t>, která zaručuje vysokou úroveň ochrany investorů.</w:t>
      </w:r>
    </w:p>
    <w:p w14:paraId="0A83BFD8" w14:textId="7A252C7C" w:rsidR="008A24A7" w:rsidRDefault="008A24A7" w:rsidP="00D04D47">
      <w:pPr>
        <w:rPr>
          <w:rFonts w:cs="Open Sans"/>
        </w:rPr>
      </w:pPr>
      <w:r w:rsidRPr="008A24A7">
        <w:rPr>
          <w:rFonts w:cs="Open Sans"/>
          <w:b/>
          <w:bCs/>
        </w:rPr>
        <w:t>ETC</w:t>
      </w:r>
      <w:r w:rsidR="00FD7515">
        <w:rPr>
          <w:rFonts w:cs="Open Sans"/>
          <w:b/>
          <w:bCs/>
        </w:rPr>
        <w:t xml:space="preserve"> (</w:t>
      </w:r>
      <w:r w:rsidR="00FD7515" w:rsidRPr="00FD7515">
        <w:rPr>
          <w:rFonts w:cs="Open Sans"/>
          <w:b/>
          <w:bCs/>
        </w:rPr>
        <w:t>Exchange-Traded Commodit</w:t>
      </w:r>
      <w:r w:rsidR="000357C9">
        <w:rPr>
          <w:rFonts w:cs="Open Sans"/>
          <w:b/>
          <w:bCs/>
        </w:rPr>
        <w:t>ies</w:t>
      </w:r>
      <w:r w:rsidR="00FD7515">
        <w:rPr>
          <w:rFonts w:cs="Open Sans"/>
          <w:b/>
          <w:bCs/>
        </w:rPr>
        <w:t>)</w:t>
      </w:r>
      <w:r w:rsidRPr="008A24A7">
        <w:rPr>
          <w:rFonts w:cs="Open Sans"/>
        </w:rPr>
        <w:t>,</w:t>
      </w:r>
      <w:r>
        <w:rPr>
          <w:rFonts w:cs="Open Sans"/>
        </w:rPr>
        <w:t xml:space="preserve"> na rozdíl od ETF, nejsou fondy,</w:t>
      </w:r>
      <w:r w:rsidRPr="008A24A7">
        <w:rPr>
          <w:rFonts w:cs="Open Sans"/>
        </w:rPr>
        <w:t xml:space="preserve"> ale dluhové cenné papíry, často zajištěné fyzickou komoditou</w:t>
      </w:r>
      <w:r w:rsidR="00667DC3">
        <w:rPr>
          <w:rFonts w:cs="Open Sans"/>
        </w:rPr>
        <w:t xml:space="preserve"> –</w:t>
      </w:r>
      <w:r w:rsidRPr="008A24A7">
        <w:rPr>
          <w:rFonts w:cs="Open Sans"/>
        </w:rPr>
        <w:t xml:space="preserve"> například zlatem uloženým v trezorech. Tyto produkty umožňují investorům profitovat z cenového vývoje surovin bez nutnosti je fyzicky vlastnit. </w:t>
      </w:r>
      <w:r w:rsidRPr="00A32AF8">
        <w:rPr>
          <w:rFonts w:cs="Open Sans"/>
          <w:i/>
          <w:iCs/>
        </w:rPr>
        <w:t xml:space="preserve">„Pro investory, kteří chtějí investovat do zlata, stříbra nebo ropy, představují ETC velmi praktické řešení. Je ale důležité ověřit, zda je produkt krytý fyzickou komoditou, nebo jde o </w:t>
      </w:r>
      <w:r w:rsidR="00A32AF8">
        <w:rPr>
          <w:rFonts w:cs="Open Sans"/>
          <w:i/>
          <w:iCs/>
        </w:rPr>
        <w:t xml:space="preserve">tzv. </w:t>
      </w:r>
      <w:r w:rsidRPr="00A32AF8">
        <w:rPr>
          <w:rFonts w:cs="Open Sans"/>
          <w:i/>
          <w:iCs/>
        </w:rPr>
        <w:t xml:space="preserve">derivátové řešení – </w:t>
      </w:r>
      <w:r w:rsidR="00A32AF8" w:rsidRPr="00A32AF8">
        <w:rPr>
          <w:rFonts w:cs="Open Sans"/>
          <w:i/>
          <w:iCs/>
        </w:rPr>
        <w:t>produkt, který cenu zlata nebo ropy sleduje jen nepřímo</w:t>
      </w:r>
      <w:r w:rsidR="00A32AF8">
        <w:rPr>
          <w:rFonts w:cs="Open Sans"/>
          <w:i/>
          <w:iCs/>
        </w:rPr>
        <w:t>. P</w:t>
      </w:r>
      <w:r w:rsidRPr="00A32AF8">
        <w:rPr>
          <w:rFonts w:cs="Open Sans"/>
          <w:i/>
          <w:iCs/>
        </w:rPr>
        <w:t>rávě v</w:t>
      </w:r>
      <w:r w:rsidR="009A08DC">
        <w:rPr>
          <w:rFonts w:cs="Open Sans"/>
          <w:i/>
          <w:iCs/>
        </w:rPr>
        <w:t> </w:t>
      </w:r>
      <w:r w:rsidRPr="00A32AF8">
        <w:rPr>
          <w:rFonts w:cs="Open Sans"/>
          <w:i/>
          <w:iCs/>
        </w:rPr>
        <w:t>tom spočívá hlavní rozdíl v</w:t>
      </w:r>
      <w:r w:rsidR="00C63A1E">
        <w:rPr>
          <w:rFonts w:cs="Open Sans"/>
          <w:i/>
          <w:iCs/>
        </w:rPr>
        <w:t> </w:t>
      </w:r>
      <w:r w:rsidRPr="00A32AF8">
        <w:rPr>
          <w:rFonts w:cs="Open Sans"/>
          <w:i/>
          <w:iCs/>
        </w:rPr>
        <w:t>riziku</w:t>
      </w:r>
      <w:r w:rsidR="00C63A1E">
        <w:rPr>
          <w:rFonts w:cs="Open Sans"/>
          <w:i/>
          <w:iCs/>
        </w:rPr>
        <w:t xml:space="preserve"> mezi jednotlivými ETC</w:t>
      </w:r>
      <w:r w:rsidRPr="00A32AF8">
        <w:rPr>
          <w:rFonts w:cs="Open Sans"/>
          <w:i/>
          <w:iCs/>
        </w:rPr>
        <w:t>,“</w:t>
      </w:r>
      <w:r w:rsidRPr="008A24A7">
        <w:rPr>
          <w:rFonts w:cs="Open Sans"/>
        </w:rPr>
        <w:t xml:space="preserve"> upozorňuje </w:t>
      </w:r>
      <w:r w:rsidR="001700C2">
        <w:rPr>
          <w:rFonts w:cs="Open Sans"/>
        </w:rPr>
        <w:t xml:space="preserve">Jiří </w:t>
      </w:r>
      <w:r w:rsidRPr="008A24A7">
        <w:rPr>
          <w:rFonts w:cs="Open Sans"/>
        </w:rPr>
        <w:t>Fajt.</w:t>
      </w:r>
    </w:p>
    <w:p w14:paraId="16463F96" w14:textId="10132033" w:rsidR="001700C2" w:rsidRDefault="009A08DC" w:rsidP="00D04D47">
      <w:pPr>
        <w:rPr>
          <w:rFonts w:cs="Open Sans"/>
        </w:rPr>
      </w:pPr>
      <w:r w:rsidRPr="009A08DC">
        <w:rPr>
          <w:rFonts w:cs="Open Sans"/>
        </w:rPr>
        <w:t xml:space="preserve">Třetí kategorií jsou </w:t>
      </w:r>
      <w:r w:rsidRPr="009A08DC">
        <w:rPr>
          <w:rFonts w:cs="Open Sans"/>
          <w:b/>
          <w:bCs/>
        </w:rPr>
        <w:t>ETN (Exchange-Traded Notes)</w:t>
      </w:r>
      <w:r w:rsidR="006B30FD">
        <w:rPr>
          <w:rFonts w:cs="Open Sans"/>
        </w:rPr>
        <w:t>.</w:t>
      </w:r>
      <w:r w:rsidRPr="009A08DC">
        <w:rPr>
          <w:rFonts w:cs="Open Sans"/>
        </w:rPr>
        <w:t xml:space="preserve"> </w:t>
      </w:r>
      <w:r w:rsidR="001474A8">
        <w:rPr>
          <w:rFonts w:ascii="Arial" w:eastAsia="Arial" w:hAnsi="Arial" w:cs="Arial"/>
          <w:color w:val="000000"/>
        </w:rPr>
        <w:t>Jde o</w:t>
      </w:r>
      <w:r w:rsidR="006B30FD">
        <w:rPr>
          <w:rFonts w:ascii="Arial" w:eastAsia="Arial" w:hAnsi="Arial" w:cs="Arial"/>
          <w:color w:val="000000"/>
        </w:rPr>
        <w:t xml:space="preserve"> burzovně obchodované dluhové cenné papíry – typicky nezajištěné závazky emitenta, jejichž výnos se odvíjí od zvoleného indexu či aktiva. Investor nese kreditní riziko emitenta; u některých evropských krypto ETN je toto riziko částečně zmírněno kolaterálem</w:t>
      </w:r>
      <w:r w:rsidR="00911C8E">
        <w:rPr>
          <w:rFonts w:ascii="Arial" w:eastAsia="Arial" w:hAnsi="Arial" w:cs="Arial"/>
          <w:color w:val="000000"/>
        </w:rPr>
        <w:t xml:space="preserve"> </w:t>
      </w:r>
      <w:r w:rsidR="00911C8E" w:rsidRPr="00911C8E">
        <w:rPr>
          <w:rFonts w:ascii="Arial" w:eastAsia="Arial" w:hAnsi="Arial" w:cs="Arial"/>
          <w:color w:val="000000"/>
        </w:rPr>
        <w:t>(tedy zástavou v podobě reálných aktiv, která kryjí vydaný produkt)</w:t>
      </w:r>
      <w:r w:rsidR="006B30FD">
        <w:rPr>
          <w:rFonts w:ascii="Arial" w:eastAsia="Arial" w:hAnsi="Arial" w:cs="Arial"/>
          <w:color w:val="000000"/>
        </w:rPr>
        <w:t>.</w:t>
      </w:r>
      <w:r w:rsidRPr="009A08DC">
        <w:rPr>
          <w:rFonts w:cs="Open Sans"/>
        </w:rPr>
        <w:t xml:space="preserve"> ETN se často používají pro investice do méně dostupných aktiv, například do kryptoměn nebo indexu volatility VIX, který měří kolísavost akciového trhu.</w:t>
      </w:r>
    </w:p>
    <w:p w14:paraId="2984D53D" w14:textId="1D84A389" w:rsidR="009A08DC" w:rsidRDefault="009A08DC" w:rsidP="00D04D47">
      <w:pPr>
        <w:rPr>
          <w:rFonts w:cs="Open Sans"/>
        </w:rPr>
      </w:pPr>
      <w:r w:rsidRPr="009A08DC">
        <w:rPr>
          <w:rFonts w:cs="Open Sans"/>
        </w:rPr>
        <w:t xml:space="preserve">Na rozdíl od komoditních produktů </w:t>
      </w:r>
      <w:r>
        <w:rPr>
          <w:rFonts w:cs="Open Sans"/>
        </w:rPr>
        <w:t>(</w:t>
      </w:r>
      <w:r w:rsidRPr="009A08DC">
        <w:rPr>
          <w:rFonts w:cs="Open Sans"/>
        </w:rPr>
        <w:t>ETC</w:t>
      </w:r>
      <w:r>
        <w:rPr>
          <w:rFonts w:cs="Open Sans"/>
        </w:rPr>
        <w:t>)</w:t>
      </w:r>
      <w:r w:rsidRPr="009A08DC">
        <w:rPr>
          <w:rFonts w:cs="Open Sans"/>
        </w:rPr>
        <w:t xml:space="preserve"> nemají ETN </w:t>
      </w:r>
      <w:r w:rsidR="00CF2F1C">
        <w:rPr>
          <w:rFonts w:cs="Open Sans"/>
        </w:rPr>
        <w:t xml:space="preserve">většinou </w:t>
      </w:r>
      <w:r w:rsidRPr="009A08DC">
        <w:rPr>
          <w:rFonts w:cs="Open Sans"/>
        </w:rPr>
        <w:t xml:space="preserve">žádné fyzické zajištění – to znamená, že za nimi nestojí například skutečné zlato nebo jiné reálné aktivum. Výnos závisí pouze na bonitě emitenta, tedy na tom, jak je vydávající instituce finančně silná a spolehlivá. Pokud by se emitent dostal do problémů, investor může o své peníze přijít. </w:t>
      </w:r>
      <w:r w:rsidRPr="003601CF">
        <w:rPr>
          <w:rFonts w:cs="Open Sans"/>
          <w:i/>
          <w:iCs/>
        </w:rPr>
        <w:lastRenderedPageBreak/>
        <w:t>„ETN jsou vhodné spíše pro zkušenější investory, kteří si uvědomují, že jde o dluhopisy</w:t>
      </w:r>
      <w:r w:rsidR="00614E23">
        <w:rPr>
          <w:rFonts w:cs="Open Sans"/>
          <w:i/>
          <w:iCs/>
        </w:rPr>
        <w:t xml:space="preserve"> často</w:t>
      </w:r>
      <w:r w:rsidRPr="003601CF">
        <w:rPr>
          <w:rFonts w:cs="Open Sans"/>
          <w:i/>
          <w:iCs/>
        </w:rPr>
        <w:t xml:space="preserve"> bez jakéhokoli zajištění. Na druhou stranu umožňují přístup na trhy, kam se běžný investor jinak nedostane,“</w:t>
      </w:r>
      <w:r w:rsidRPr="009A08DC">
        <w:rPr>
          <w:rFonts w:cs="Open Sans"/>
        </w:rPr>
        <w:t xml:space="preserve"> vysvětluje Jiří Fajt.</w:t>
      </w:r>
    </w:p>
    <w:p w14:paraId="5409AA71" w14:textId="5EA3F44D" w:rsidR="003601CF" w:rsidRDefault="003601CF" w:rsidP="00D04D47">
      <w:pPr>
        <w:rPr>
          <w:rFonts w:cs="Open Sans"/>
        </w:rPr>
      </w:pPr>
      <w:r w:rsidRPr="003601CF">
        <w:rPr>
          <w:rFonts w:cs="Open Sans"/>
        </w:rPr>
        <w:t>Z praktického hlediska je dobré vědět, že v Evropské unii si investor nekoupí ETF (tedy klasický burzovně obchodovaný fond) přímo na zlato, Bitcoin nebo Ethereum. Pokud chce investovat do těchto aktiv, musí využít právě produkty typu ETC nebo ETN, které takovou možnost nabízejí a zároveň splňují evropské předpisy. Tyto nástroje lze nakupovat velmi jednoduše přes běžné online obchodní platformy – podobně jako akcie – pomocí jejich tickeru (zkratky, pod kterou se obchodují) nebo ISIN kódu (mezinárodního identifikačního čísla cenného papíru).</w:t>
      </w:r>
    </w:p>
    <w:p w14:paraId="7AD742DB" w14:textId="4E7AC87A" w:rsidR="003601CF" w:rsidRPr="00116AFB" w:rsidRDefault="003601CF" w:rsidP="00D04D47">
      <w:pPr>
        <w:rPr>
          <w:rFonts w:cs="Open Sans"/>
        </w:rPr>
      </w:pPr>
      <w:r w:rsidRPr="003601CF">
        <w:rPr>
          <w:rFonts w:cs="Open Sans"/>
          <w:i/>
          <w:iCs/>
        </w:rPr>
        <w:t>„Burzovně obchodované produkty dnes umožňují investovat téměř do čehokoli – od akcií přes komodity až po kryptoměny. Důležité je ale vědět, co přesně kupujete a jaké riziko tím na sebe berete,“</w:t>
      </w:r>
      <w:r w:rsidRPr="003601CF">
        <w:rPr>
          <w:rFonts w:cs="Open Sans"/>
        </w:rPr>
        <w:t xml:space="preserve"> uzavírá Jiří Fajt.</w:t>
      </w:r>
    </w:p>
    <w:p w14:paraId="57CEC546" w14:textId="322C8BD7" w:rsidR="00712072" w:rsidRPr="002029CF" w:rsidRDefault="00712072" w:rsidP="00C00401">
      <w:pPr>
        <w:rPr>
          <w:rFonts w:cs="Open Sans"/>
        </w:rPr>
      </w:pPr>
      <w:r w:rsidRPr="007622A0">
        <w:rPr>
          <w:rFonts w:cs="Open Sans"/>
          <w:b/>
          <w:bCs/>
          <w:i/>
          <w:iCs/>
          <w:sz w:val="20"/>
          <w:szCs w:val="20"/>
        </w:rPr>
        <w:t>O společnosti FinGO:</w:t>
      </w:r>
    </w:p>
    <w:p w14:paraId="3272E8CB" w14:textId="1C8BCFCC" w:rsidR="009C1B95" w:rsidRDefault="00712072" w:rsidP="00C00401">
      <w:pPr>
        <w:rPr>
          <w:rFonts w:cs="Open Sans"/>
          <w:i/>
          <w:iCs/>
          <w:sz w:val="20"/>
          <w:szCs w:val="20"/>
        </w:rPr>
      </w:pPr>
      <w:r w:rsidRPr="0085622D">
        <w:rPr>
          <w:rFonts w:cs="Open Sans"/>
          <w:i/>
          <w:iCs/>
          <w:sz w:val="20"/>
          <w:szCs w:val="20"/>
        </w:rPr>
        <w:t xml:space="preserve">Digitální finančně-poradenská společnost FinGO.cz začala v České republice působit v roce 2021 s cílem přinést makléřům i klientům pohodlí, férovost a díky digitálním technologiím také příležitost, jak oslovit nové klienty. V současnosti má společnost přes </w:t>
      </w:r>
      <w:r w:rsidR="003C1A63">
        <w:rPr>
          <w:rFonts w:cs="Open Sans"/>
          <w:i/>
          <w:iCs/>
          <w:sz w:val="20"/>
          <w:szCs w:val="20"/>
        </w:rPr>
        <w:t>6</w:t>
      </w:r>
      <w:r w:rsidR="00ED044F">
        <w:rPr>
          <w:rFonts w:cs="Open Sans"/>
          <w:i/>
          <w:iCs/>
          <w:sz w:val="20"/>
          <w:szCs w:val="20"/>
        </w:rPr>
        <w:t>5</w:t>
      </w:r>
      <w:r w:rsidRPr="0085622D">
        <w:rPr>
          <w:rFonts w:cs="Open Sans"/>
          <w:i/>
          <w:iCs/>
          <w:sz w:val="20"/>
          <w:szCs w:val="20"/>
        </w:rPr>
        <w:t>0 vázaných zástupců, kteří působí po celé České republice. V roce 2022 patřila k nejrychleji rostoucím makléřským společnostem, přičemž v oblasti úvěrů rostla nejrychleji ze všech.  Významný podíl produkce FinGO.cz pochází z online příležitostí, které společnost sama vytváří pro své vázané zástupce.</w:t>
      </w:r>
    </w:p>
    <w:p w14:paraId="6FEFC148" w14:textId="52B26EB2" w:rsidR="0096059C" w:rsidRDefault="00640C88" w:rsidP="00C00401">
      <w:pPr>
        <w:rPr>
          <w:rFonts w:cs="Open Sans"/>
          <w:i/>
          <w:iCs/>
          <w:sz w:val="20"/>
          <w:szCs w:val="20"/>
        </w:rPr>
      </w:pPr>
      <w:r w:rsidRPr="0085622D">
        <w:rPr>
          <w:rFonts w:cs="Open Sans"/>
          <w:noProof/>
        </w:rPr>
        <w:drawing>
          <wp:anchor distT="0" distB="0" distL="114300" distR="114300" simplePos="0" relativeHeight="251665408" behindDoc="0" locked="0" layoutInCell="1" allowOverlap="1" wp14:anchorId="5942909A" wp14:editId="541BB038">
            <wp:simplePos x="0" y="0"/>
            <wp:positionH relativeFrom="margin">
              <wp:posOffset>5693410</wp:posOffset>
            </wp:positionH>
            <wp:positionV relativeFrom="paragraph">
              <wp:posOffset>1660525</wp:posOffset>
            </wp:positionV>
            <wp:extent cx="572135" cy="431800"/>
            <wp:effectExtent l="0" t="0" r="0" b="6350"/>
            <wp:wrapSquare wrapText="bothSides"/>
            <wp:docPr id="1430303569" name="Obrázek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303569" name="Obrázek 4">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572135" cy="431800"/>
                    </a:xfrm>
                    <a:prstGeom prst="rect">
                      <a:avLst/>
                    </a:prstGeom>
                  </pic:spPr>
                </pic:pic>
              </a:graphicData>
            </a:graphic>
            <wp14:sizeRelH relativeFrom="margin">
              <wp14:pctWidth>0</wp14:pctWidth>
            </wp14:sizeRelH>
            <wp14:sizeRelV relativeFrom="margin">
              <wp14:pctHeight>0</wp14:pctHeight>
            </wp14:sizeRelV>
          </wp:anchor>
        </w:drawing>
      </w:r>
      <w:r w:rsidRPr="0085622D">
        <w:rPr>
          <w:rFonts w:cs="Open Sans"/>
          <w:noProof/>
        </w:rPr>
        <w:drawing>
          <wp:anchor distT="0" distB="0" distL="114300" distR="114300" simplePos="0" relativeHeight="251663360" behindDoc="0" locked="0" layoutInCell="1" allowOverlap="1" wp14:anchorId="53045D19" wp14:editId="2E564BD3">
            <wp:simplePos x="0" y="0"/>
            <wp:positionH relativeFrom="column">
              <wp:posOffset>5053330</wp:posOffset>
            </wp:positionH>
            <wp:positionV relativeFrom="paragraph">
              <wp:posOffset>1660525</wp:posOffset>
            </wp:positionV>
            <wp:extent cx="467995" cy="431800"/>
            <wp:effectExtent l="0" t="0" r="8255" b="6350"/>
            <wp:wrapSquare wrapText="bothSides"/>
            <wp:docPr id="415049230" name="Obrázek 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049230" name="Obrázek 5">
                      <a:hlinkClick r:id="rId13"/>
                    </pic:cNvPr>
                    <pic:cNvPicPr/>
                  </pic:nvPicPr>
                  <pic:blipFill>
                    <a:blip r:embed="rId14">
                      <a:extLst>
                        <a:ext uri="{28A0092B-C50C-407E-A947-70E740481C1C}">
                          <a14:useLocalDpi xmlns:a14="http://schemas.microsoft.com/office/drawing/2010/main" val="0"/>
                        </a:ext>
                      </a:extLst>
                    </a:blip>
                    <a:stretch>
                      <a:fillRect/>
                    </a:stretch>
                  </pic:blipFill>
                  <pic:spPr>
                    <a:xfrm>
                      <a:off x="0" y="0"/>
                      <a:ext cx="467995" cy="431800"/>
                    </a:xfrm>
                    <a:prstGeom prst="rect">
                      <a:avLst/>
                    </a:prstGeom>
                  </pic:spPr>
                </pic:pic>
              </a:graphicData>
            </a:graphic>
            <wp14:sizeRelH relativeFrom="margin">
              <wp14:pctWidth>0</wp14:pctWidth>
            </wp14:sizeRelH>
            <wp14:sizeRelV relativeFrom="margin">
              <wp14:pctHeight>0</wp14:pctHeight>
            </wp14:sizeRelV>
          </wp:anchor>
        </w:drawing>
      </w:r>
      <w:r w:rsidRPr="0085622D">
        <w:rPr>
          <w:rFonts w:cs="Open Sans"/>
          <w:noProof/>
        </w:rPr>
        <w:drawing>
          <wp:anchor distT="0" distB="0" distL="114300" distR="114300" simplePos="0" relativeHeight="251661312" behindDoc="0" locked="0" layoutInCell="1" allowOverlap="1" wp14:anchorId="334490BB" wp14:editId="29A2D813">
            <wp:simplePos x="0" y="0"/>
            <wp:positionH relativeFrom="margin">
              <wp:posOffset>4265930</wp:posOffset>
            </wp:positionH>
            <wp:positionV relativeFrom="paragraph">
              <wp:posOffset>1655445</wp:posOffset>
            </wp:positionV>
            <wp:extent cx="845820" cy="431800"/>
            <wp:effectExtent l="0" t="0" r="0" b="6350"/>
            <wp:wrapSquare wrapText="bothSides"/>
            <wp:docPr id="1399757103" name="Obrázek 6">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757103" name="Obrázek 6">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845820" cy="431800"/>
                    </a:xfrm>
                    <a:prstGeom prst="rect">
                      <a:avLst/>
                    </a:prstGeom>
                  </pic:spPr>
                </pic:pic>
              </a:graphicData>
            </a:graphic>
            <wp14:sizeRelH relativeFrom="margin">
              <wp14:pctWidth>0</wp14:pctWidth>
            </wp14:sizeRelH>
            <wp14:sizeRelV relativeFrom="margin">
              <wp14:pctHeight>0</wp14:pctHeight>
            </wp14:sizeRelV>
          </wp:anchor>
        </w:drawing>
      </w:r>
      <w:r w:rsidRPr="0085622D">
        <w:rPr>
          <w:rFonts w:cs="Open Sans"/>
          <w:noProof/>
        </w:rPr>
        <w:drawing>
          <wp:anchor distT="0" distB="0" distL="114300" distR="114300" simplePos="0" relativeHeight="251659264" behindDoc="0" locked="0" layoutInCell="1" allowOverlap="1" wp14:anchorId="5BD6DE5E" wp14:editId="24EA21E6">
            <wp:simplePos x="0" y="0"/>
            <wp:positionH relativeFrom="margin">
              <wp:posOffset>3815080</wp:posOffset>
            </wp:positionH>
            <wp:positionV relativeFrom="paragraph">
              <wp:posOffset>1655445</wp:posOffset>
            </wp:positionV>
            <wp:extent cx="460375" cy="431800"/>
            <wp:effectExtent l="0" t="0" r="0" b="6350"/>
            <wp:wrapSquare wrapText="bothSides"/>
            <wp:docPr id="2096601148" name="Obrázek 7">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601148" name="Obrázek 7">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460375" cy="431800"/>
                    </a:xfrm>
                    <a:prstGeom prst="rect">
                      <a:avLst/>
                    </a:prstGeom>
                  </pic:spPr>
                </pic:pic>
              </a:graphicData>
            </a:graphic>
            <wp14:sizeRelH relativeFrom="margin">
              <wp14:pctWidth>0</wp14:pctWidth>
            </wp14:sizeRelH>
            <wp14:sizeRelV relativeFrom="margin">
              <wp14:pctHeight>0</wp14:pctHeight>
            </wp14:sizeRelV>
          </wp:anchor>
        </w:drawing>
      </w:r>
      <w:r w:rsidR="00712072" w:rsidRPr="0085622D">
        <w:rPr>
          <w:rFonts w:cs="Open Sans"/>
          <w:i/>
          <w:iCs/>
          <w:sz w:val="20"/>
          <w:szCs w:val="20"/>
        </w:rPr>
        <w:t xml:space="preserve">Společnost FinGO je součástí lokální investiční skupiny InTeFi Capital podnikatele a investora Lukáše Nováka. Skupina vlastní a řídí české a slovenské společnosti z oblastí informačních technologií, financí, a real estate developmentu. Podíl vlastní například v technologické skupině BiQ Group, která vytváří komplexní a udržitelné IT projekty s budoucností. </w:t>
      </w:r>
      <w:r w:rsidR="00633408">
        <w:rPr>
          <w:rFonts w:cs="Open Sans"/>
          <w:i/>
          <w:iCs/>
          <w:sz w:val="20"/>
          <w:szCs w:val="20"/>
        </w:rPr>
        <w:t>Sesterská s</w:t>
      </w:r>
      <w:r w:rsidR="00712072" w:rsidRPr="0085622D">
        <w:rPr>
          <w:rFonts w:cs="Open Sans"/>
          <w:i/>
          <w:iCs/>
          <w:sz w:val="20"/>
          <w:szCs w:val="20"/>
        </w:rPr>
        <w:t xml:space="preserve">polečnost FinGO.sk byla založena </w:t>
      </w:r>
      <w:r w:rsidR="00F454AD">
        <w:rPr>
          <w:rFonts w:cs="Open Sans"/>
          <w:i/>
          <w:iCs/>
          <w:sz w:val="20"/>
          <w:szCs w:val="20"/>
        </w:rPr>
        <w:t>v roce 2017</w:t>
      </w:r>
      <w:r w:rsidR="00712072" w:rsidRPr="0085622D">
        <w:rPr>
          <w:rFonts w:cs="Open Sans"/>
          <w:i/>
          <w:iCs/>
          <w:sz w:val="20"/>
          <w:szCs w:val="20"/>
        </w:rPr>
        <w:t xml:space="preserve"> a stala se jednou z nejrychleji rostoucích společností ve svém oboru na Slovensku. Více než 1</w:t>
      </w:r>
      <w:r w:rsidR="004B7096">
        <w:rPr>
          <w:rFonts w:cs="Open Sans"/>
          <w:i/>
          <w:iCs/>
          <w:sz w:val="20"/>
          <w:szCs w:val="20"/>
        </w:rPr>
        <w:t xml:space="preserve"> 0</w:t>
      </w:r>
      <w:r w:rsidR="00712072" w:rsidRPr="0085622D">
        <w:rPr>
          <w:rFonts w:cs="Open Sans"/>
          <w:i/>
          <w:iCs/>
          <w:sz w:val="20"/>
          <w:szCs w:val="20"/>
        </w:rPr>
        <w:t>00 odborníků působí ve všech 79 okresech Slovenska a stará se o téměř 1</w:t>
      </w:r>
      <w:r w:rsidR="00E92752">
        <w:rPr>
          <w:rFonts w:cs="Open Sans"/>
          <w:i/>
          <w:iCs/>
          <w:sz w:val="20"/>
          <w:szCs w:val="20"/>
        </w:rPr>
        <w:t>5</w:t>
      </w:r>
      <w:r w:rsidR="00712072" w:rsidRPr="0085622D">
        <w:rPr>
          <w:rFonts w:cs="Open Sans"/>
          <w:i/>
          <w:iCs/>
          <w:sz w:val="20"/>
          <w:szCs w:val="20"/>
        </w:rPr>
        <w:t>0 000 spokojených klientů.</w:t>
      </w:r>
    </w:p>
    <w:p w14:paraId="46965D77" w14:textId="77777777" w:rsidR="00C60B9C" w:rsidRDefault="00C60B9C" w:rsidP="00C00401">
      <w:pPr>
        <w:rPr>
          <w:rFonts w:cs="Open Sans"/>
          <w:sz w:val="20"/>
          <w:szCs w:val="20"/>
        </w:rPr>
      </w:pPr>
    </w:p>
    <w:p w14:paraId="5404066D" w14:textId="0DE962A9" w:rsidR="00C60B9C" w:rsidRDefault="00C60B9C" w:rsidP="009449C4">
      <w:pPr>
        <w:spacing w:after="0"/>
        <w:rPr>
          <w:rFonts w:cs="Open Sans"/>
          <w:b/>
          <w:bCs/>
        </w:rPr>
      </w:pPr>
      <w:r>
        <w:rPr>
          <w:rFonts w:cs="Open Sans"/>
          <w:b/>
          <w:bCs/>
        </w:rPr>
        <w:t>Kontakt pro média:</w:t>
      </w:r>
    </w:p>
    <w:p w14:paraId="5DD68EF2" w14:textId="68F29F80" w:rsidR="00C60B9C" w:rsidRDefault="00C60B9C" w:rsidP="009449C4">
      <w:pPr>
        <w:spacing w:after="0"/>
        <w:rPr>
          <w:rFonts w:cs="Open Sans"/>
        </w:rPr>
      </w:pPr>
      <w:r>
        <w:rPr>
          <w:rFonts w:cs="Open Sans"/>
        </w:rPr>
        <w:t>Crest Communications</w:t>
      </w:r>
    </w:p>
    <w:p w14:paraId="7651C779" w14:textId="7A0646C9" w:rsidR="00C60B9C" w:rsidRDefault="00C60B9C" w:rsidP="009449C4">
      <w:pPr>
        <w:spacing w:after="0"/>
        <w:rPr>
          <w:rFonts w:cs="Open Sans"/>
        </w:rPr>
      </w:pPr>
      <w:r>
        <w:rPr>
          <w:rFonts w:cs="Open Sans"/>
        </w:rPr>
        <w:t>Jakub Knapp</w:t>
      </w:r>
    </w:p>
    <w:p w14:paraId="42F0E8E7" w14:textId="0EE2C3A0" w:rsidR="00C60B9C" w:rsidRDefault="00C60B9C" w:rsidP="009449C4">
      <w:pPr>
        <w:spacing w:after="0"/>
        <w:rPr>
          <w:rFonts w:cs="Open Sans"/>
        </w:rPr>
      </w:pPr>
      <w:hyperlink r:id="rId19" w:history="1">
        <w:r w:rsidRPr="00697EC9">
          <w:rPr>
            <w:rStyle w:val="Hypertextovodkaz"/>
            <w:rFonts w:cs="Open Sans"/>
          </w:rPr>
          <w:t>Jakub.knapp@crestcom.cz</w:t>
        </w:r>
      </w:hyperlink>
    </w:p>
    <w:p w14:paraId="0076460C" w14:textId="6187AC66" w:rsidR="00C60B9C" w:rsidRPr="00C60B9C" w:rsidRDefault="00C60B9C" w:rsidP="009449C4">
      <w:pPr>
        <w:spacing w:after="0"/>
        <w:rPr>
          <w:rFonts w:cs="Open Sans"/>
        </w:rPr>
      </w:pPr>
      <w:r>
        <w:rPr>
          <w:rFonts w:cs="Open Sans"/>
        </w:rPr>
        <w:t>737 046 947</w:t>
      </w:r>
    </w:p>
    <w:sectPr w:rsidR="00C60B9C" w:rsidRPr="00C60B9C">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9F64F" w14:textId="77777777" w:rsidR="00C8104A" w:rsidRDefault="00C8104A" w:rsidP="00C00401">
      <w:r>
        <w:separator/>
      </w:r>
    </w:p>
  </w:endnote>
  <w:endnote w:type="continuationSeparator" w:id="0">
    <w:p w14:paraId="4C1AEFFC" w14:textId="77777777" w:rsidR="00C8104A" w:rsidRDefault="00C8104A" w:rsidP="00C00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E791658" w14:paraId="7B7E4F7F" w14:textId="77777777" w:rsidTr="7E791658">
      <w:trPr>
        <w:trHeight w:val="300"/>
      </w:trPr>
      <w:tc>
        <w:tcPr>
          <w:tcW w:w="3020" w:type="dxa"/>
        </w:tcPr>
        <w:p w14:paraId="15343DB0" w14:textId="77777777" w:rsidR="7E791658" w:rsidRDefault="7E791658" w:rsidP="00C00401">
          <w:pPr>
            <w:pStyle w:val="Zhlav"/>
          </w:pPr>
        </w:p>
      </w:tc>
      <w:tc>
        <w:tcPr>
          <w:tcW w:w="3020" w:type="dxa"/>
        </w:tcPr>
        <w:p w14:paraId="102F4D46" w14:textId="77777777" w:rsidR="7E791658" w:rsidRDefault="7E791658" w:rsidP="00C00401">
          <w:pPr>
            <w:pStyle w:val="Zhlav"/>
          </w:pPr>
        </w:p>
      </w:tc>
      <w:tc>
        <w:tcPr>
          <w:tcW w:w="3020" w:type="dxa"/>
        </w:tcPr>
        <w:p w14:paraId="01B44316" w14:textId="77777777" w:rsidR="7E791658" w:rsidRDefault="7E791658" w:rsidP="00C00401">
          <w:pPr>
            <w:pStyle w:val="Zhlav"/>
          </w:pPr>
        </w:p>
      </w:tc>
    </w:tr>
  </w:tbl>
  <w:p w14:paraId="37BCB74C" w14:textId="77777777" w:rsidR="7E791658" w:rsidRDefault="7E791658" w:rsidP="00C0040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5EE55" w14:textId="77777777" w:rsidR="00C8104A" w:rsidRDefault="00C8104A" w:rsidP="00C00401">
      <w:r>
        <w:separator/>
      </w:r>
    </w:p>
  </w:footnote>
  <w:footnote w:type="continuationSeparator" w:id="0">
    <w:p w14:paraId="4B6DADD6" w14:textId="77777777" w:rsidR="00C8104A" w:rsidRDefault="00C8104A" w:rsidP="00C00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4CC11" w14:textId="77777777" w:rsidR="009B404E" w:rsidRPr="00C00401" w:rsidRDefault="009B404E" w:rsidP="00C00401">
    <w:pPr>
      <w:pStyle w:val="Zahlavi"/>
    </w:pPr>
    <w:r w:rsidRPr="00C00401">
      <w:drawing>
        <wp:anchor distT="0" distB="0" distL="114300" distR="114300" simplePos="0" relativeHeight="251658240" behindDoc="0" locked="0" layoutInCell="1" allowOverlap="1" wp14:anchorId="6845EDC8" wp14:editId="5DC0020C">
          <wp:simplePos x="0" y="0"/>
          <wp:positionH relativeFrom="column">
            <wp:posOffset>4310380</wp:posOffset>
          </wp:positionH>
          <wp:positionV relativeFrom="paragraph">
            <wp:posOffset>-325755</wp:posOffset>
          </wp:positionV>
          <wp:extent cx="1895475" cy="768985"/>
          <wp:effectExtent l="0" t="0" r="9525" b="0"/>
          <wp:wrapSquare wrapText="bothSides"/>
          <wp:docPr id="399986389" name="Grafický 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6389" name="Grafický objekt 3999863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95475" cy="768985"/>
                  </a:xfrm>
                  <a:prstGeom prst="rect">
                    <a:avLst/>
                  </a:prstGeom>
                </pic:spPr>
              </pic:pic>
            </a:graphicData>
          </a:graphic>
        </wp:anchor>
      </w:drawing>
    </w:r>
  </w:p>
  <w:p w14:paraId="3D056159" w14:textId="77777777" w:rsidR="009B404E" w:rsidRDefault="009B404E" w:rsidP="00C0040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7135C"/>
    <w:multiLevelType w:val="hybridMultilevel"/>
    <w:tmpl w:val="88DCF7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63438E0"/>
    <w:multiLevelType w:val="multilevel"/>
    <w:tmpl w:val="335818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3B1F05"/>
    <w:multiLevelType w:val="multilevel"/>
    <w:tmpl w:val="5A8C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AC5539"/>
    <w:multiLevelType w:val="multilevel"/>
    <w:tmpl w:val="6A6621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BD040F"/>
    <w:multiLevelType w:val="multilevel"/>
    <w:tmpl w:val="D038A2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E3E032A"/>
    <w:multiLevelType w:val="multilevel"/>
    <w:tmpl w:val="45FA1A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AA0531"/>
    <w:multiLevelType w:val="multilevel"/>
    <w:tmpl w:val="B1A455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A62F41"/>
    <w:multiLevelType w:val="multilevel"/>
    <w:tmpl w:val="0AF6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321472"/>
    <w:multiLevelType w:val="multilevel"/>
    <w:tmpl w:val="1E2854C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E0B305E"/>
    <w:multiLevelType w:val="hybridMultilevel"/>
    <w:tmpl w:val="3AE4BC7C"/>
    <w:lvl w:ilvl="0" w:tplc="8E32B94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72757161">
    <w:abstractNumId w:val="8"/>
  </w:num>
  <w:num w:numId="2" w16cid:durableId="363099003">
    <w:abstractNumId w:val="0"/>
  </w:num>
  <w:num w:numId="3" w16cid:durableId="1533155299">
    <w:abstractNumId w:val="5"/>
  </w:num>
  <w:num w:numId="4" w16cid:durableId="1809980726">
    <w:abstractNumId w:val="6"/>
  </w:num>
  <w:num w:numId="5" w16cid:durableId="1958484008">
    <w:abstractNumId w:val="4"/>
  </w:num>
  <w:num w:numId="6" w16cid:durableId="854686921">
    <w:abstractNumId w:val="1"/>
  </w:num>
  <w:num w:numId="7" w16cid:durableId="1984118866">
    <w:abstractNumId w:val="3"/>
  </w:num>
  <w:num w:numId="8" w16cid:durableId="128133814">
    <w:abstractNumId w:val="9"/>
  </w:num>
  <w:num w:numId="9" w16cid:durableId="1499270494">
    <w:abstractNumId w:val="7"/>
  </w:num>
  <w:num w:numId="10" w16cid:durableId="11552188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96"/>
    <w:rsid w:val="0000021F"/>
    <w:rsid w:val="00001B23"/>
    <w:rsid w:val="00001B35"/>
    <w:rsid w:val="00004FFD"/>
    <w:rsid w:val="0000658B"/>
    <w:rsid w:val="000073D8"/>
    <w:rsid w:val="0000794B"/>
    <w:rsid w:val="00010A63"/>
    <w:rsid w:val="00010B20"/>
    <w:rsid w:val="000130A7"/>
    <w:rsid w:val="000156C5"/>
    <w:rsid w:val="000166FB"/>
    <w:rsid w:val="000167C8"/>
    <w:rsid w:val="00016F51"/>
    <w:rsid w:val="000177F2"/>
    <w:rsid w:val="000232BB"/>
    <w:rsid w:val="00027827"/>
    <w:rsid w:val="00030C15"/>
    <w:rsid w:val="00031FAB"/>
    <w:rsid w:val="00032B9B"/>
    <w:rsid w:val="00032BF6"/>
    <w:rsid w:val="000344D4"/>
    <w:rsid w:val="0003572F"/>
    <w:rsid w:val="000357C9"/>
    <w:rsid w:val="00035827"/>
    <w:rsid w:val="00035FAF"/>
    <w:rsid w:val="000370E4"/>
    <w:rsid w:val="00041CF6"/>
    <w:rsid w:val="0004389E"/>
    <w:rsid w:val="000442A5"/>
    <w:rsid w:val="000456D8"/>
    <w:rsid w:val="000458D0"/>
    <w:rsid w:val="000460C4"/>
    <w:rsid w:val="00046406"/>
    <w:rsid w:val="00046FCB"/>
    <w:rsid w:val="000514DD"/>
    <w:rsid w:val="00052C56"/>
    <w:rsid w:val="00055DF8"/>
    <w:rsid w:val="00055FE9"/>
    <w:rsid w:val="00057716"/>
    <w:rsid w:val="000611AF"/>
    <w:rsid w:val="000625FE"/>
    <w:rsid w:val="00063A45"/>
    <w:rsid w:val="00063B10"/>
    <w:rsid w:val="000647F4"/>
    <w:rsid w:val="00065953"/>
    <w:rsid w:val="000662C5"/>
    <w:rsid w:val="00072048"/>
    <w:rsid w:val="000725B0"/>
    <w:rsid w:val="00073C2D"/>
    <w:rsid w:val="00074C4C"/>
    <w:rsid w:val="00075457"/>
    <w:rsid w:val="000761B4"/>
    <w:rsid w:val="00076806"/>
    <w:rsid w:val="000816F4"/>
    <w:rsid w:val="0008245D"/>
    <w:rsid w:val="00083A38"/>
    <w:rsid w:val="00083CAE"/>
    <w:rsid w:val="000873CA"/>
    <w:rsid w:val="00091AB5"/>
    <w:rsid w:val="00092FF4"/>
    <w:rsid w:val="00094ABB"/>
    <w:rsid w:val="000962CF"/>
    <w:rsid w:val="000970DD"/>
    <w:rsid w:val="000A025B"/>
    <w:rsid w:val="000A10EE"/>
    <w:rsid w:val="000A22D0"/>
    <w:rsid w:val="000A4128"/>
    <w:rsid w:val="000A5BC8"/>
    <w:rsid w:val="000B0146"/>
    <w:rsid w:val="000B3761"/>
    <w:rsid w:val="000B491A"/>
    <w:rsid w:val="000B53EF"/>
    <w:rsid w:val="000B5540"/>
    <w:rsid w:val="000B6269"/>
    <w:rsid w:val="000B6644"/>
    <w:rsid w:val="000B799B"/>
    <w:rsid w:val="000C1F47"/>
    <w:rsid w:val="000C32FA"/>
    <w:rsid w:val="000C4389"/>
    <w:rsid w:val="000D1903"/>
    <w:rsid w:val="000D5103"/>
    <w:rsid w:val="000D6645"/>
    <w:rsid w:val="000D6A46"/>
    <w:rsid w:val="000D6D02"/>
    <w:rsid w:val="000E0245"/>
    <w:rsid w:val="000E0D1B"/>
    <w:rsid w:val="000E157E"/>
    <w:rsid w:val="000E2A8F"/>
    <w:rsid w:val="000E6A0D"/>
    <w:rsid w:val="000F2B58"/>
    <w:rsid w:val="000F3C52"/>
    <w:rsid w:val="0010033D"/>
    <w:rsid w:val="00100EF2"/>
    <w:rsid w:val="00102EE3"/>
    <w:rsid w:val="00103C5D"/>
    <w:rsid w:val="00114A22"/>
    <w:rsid w:val="00116AFB"/>
    <w:rsid w:val="00123A82"/>
    <w:rsid w:val="00123CBB"/>
    <w:rsid w:val="0012633D"/>
    <w:rsid w:val="00126A40"/>
    <w:rsid w:val="00126CAB"/>
    <w:rsid w:val="00130CD5"/>
    <w:rsid w:val="001326E1"/>
    <w:rsid w:val="001349B3"/>
    <w:rsid w:val="00136991"/>
    <w:rsid w:val="001369B5"/>
    <w:rsid w:val="00140D71"/>
    <w:rsid w:val="00141266"/>
    <w:rsid w:val="00141690"/>
    <w:rsid w:val="001429AE"/>
    <w:rsid w:val="00145A00"/>
    <w:rsid w:val="001474A8"/>
    <w:rsid w:val="00151753"/>
    <w:rsid w:val="001529F1"/>
    <w:rsid w:val="00154E66"/>
    <w:rsid w:val="00155502"/>
    <w:rsid w:val="00160E3C"/>
    <w:rsid w:val="00161442"/>
    <w:rsid w:val="00161DEA"/>
    <w:rsid w:val="00163105"/>
    <w:rsid w:val="001653DF"/>
    <w:rsid w:val="00165C6C"/>
    <w:rsid w:val="001665F9"/>
    <w:rsid w:val="00166AF9"/>
    <w:rsid w:val="001671B0"/>
    <w:rsid w:val="001700C2"/>
    <w:rsid w:val="00170800"/>
    <w:rsid w:val="001710AF"/>
    <w:rsid w:val="0017134D"/>
    <w:rsid w:val="001726F3"/>
    <w:rsid w:val="00172E17"/>
    <w:rsid w:val="00180E6A"/>
    <w:rsid w:val="00183600"/>
    <w:rsid w:val="001842E5"/>
    <w:rsid w:val="0018739C"/>
    <w:rsid w:val="001876D3"/>
    <w:rsid w:val="0019024B"/>
    <w:rsid w:val="001946FC"/>
    <w:rsid w:val="00197F73"/>
    <w:rsid w:val="001A06AC"/>
    <w:rsid w:val="001A0D25"/>
    <w:rsid w:val="001A1292"/>
    <w:rsid w:val="001A1D0A"/>
    <w:rsid w:val="001A2107"/>
    <w:rsid w:val="001A21A3"/>
    <w:rsid w:val="001B3538"/>
    <w:rsid w:val="001B4EA0"/>
    <w:rsid w:val="001C0693"/>
    <w:rsid w:val="001C1F70"/>
    <w:rsid w:val="001C2B99"/>
    <w:rsid w:val="001C434C"/>
    <w:rsid w:val="001C580D"/>
    <w:rsid w:val="001C7341"/>
    <w:rsid w:val="001D10AA"/>
    <w:rsid w:val="001D24B7"/>
    <w:rsid w:val="001D2C8C"/>
    <w:rsid w:val="001D4EB5"/>
    <w:rsid w:val="001D588D"/>
    <w:rsid w:val="001D598E"/>
    <w:rsid w:val="001E080B"/>
    <w:rsid w:val="001E1289"/>
    <w:rsid w:val="001E302B"/>
    <w:rsid w:val="001E30CC"/>
    <w:rsid w:val="001E68DC"/>
    <w:rsid w:val="001E6AB9"/>
    <w:rsid w:val="001E6F3F"/>
    <w:rsid w:val="001E7717"/>
    <w:rsid w:val="001F250E"/>
    <w:rsid w:val="001F44D8"/>
    <w:rsid w:val="002029CF"/>
    <w:rsid w:val="002049BE"/>
    <w:rsid w:val="00204ED4"/>
    <w:rsid w:val="00207B4D"/>
    <w:rsid w:val="002113C3"/>
    <w:rsid w:val="00211D63"/>
    <w:rsid w:val="00213ED1"/>
    <w:rsid w:val="0021451A"/>
    <w:rsid w:val="00215E72"/>
    <w:rsid w:val="00217BE6"/>
    <w:rsid w:val="00217E22"/>
    <w:rsid w:val="00221487"/>
    <w:rsid w:val="0022158E"/>
    <w:rsid w:val="00221B94"/>
    <w:rsid w:val="00222C93"/>
    <w:rsid w:val="00224B01"/>
    <w:rsid w:val="002303EC"/>
    <w:rsid w:val="00233E02"/>
    <w:rsid w:val="00234369"/>
    <w:rsid w:val="002344D8"/>
    <w:rsid w:val="00234D95"/>
    <w:rsid w:val="00236FB7"/>
    <w:rsid w:val="002379C0"/>
    <w:rsid w:val="00241F37"/>
    <w:rsid w:val="00245AAA"/>
    <w:rsid w:val="002505B0"/>
    <w:rsid w:val="00251351"/>
    <w:rsid w:val="0025211B"/>
    <w:rsid w:val="002521C9"/>
    <w:rsid w:val="00257F3E"/>
    <w:rsid w:val="00260F8F"/>
    <w:rsid w:val="00261CA3"/>
    <w:rsid w:val="00263614"/>
    <w:rsid w:val="002639B4"/>
    <w:rsid w:val="00274D60"/>
    <w:rsid w:val="00276880"/>
    <w:rsid w:val="00276C6C"/>
    <w:rsid w:val="00276F7D"/>
    <w:rsid w:val="002772E1"/>
    <w:rsid w:val="00280C2B"/>
    <w:rsid w:val="00284142"/>
    <w:rsid w:val="002876FC"/>
    <w:rsid w:val="00287DF5"/>
    <w:rsid w:val="002905E6"/>
    <w:rsid w:val="0029083A"/>
    <w:rsid w:val="00292F00"/>
    <w:rsid w:val="00295A20"/>
    <w:rsid w:val="002A1734"/>
    <w:rsid w:val="002A1B55"/>
    <w:rsid w:val="002A1EE5"/>
    <w:rsid w:val="002A21E4"/>
    <w:rsid w:val="002A32F4"/>
    <w:rsid w:val="002A53DA"/>
    <w:rsid w:val="002A62CB"/>
    <w:rsid w:val="002B13B2"/>
    <w:rsid w:val="002B70E7"/>
    <w:rsid w:val="002C2E3A"/>
    <w:rsid w:val="002C382A"/>
    <w:rsid w:val="002C59EB"/>
    <w:rsid w:val="002C5A45"/>
    <w:rsid w:val="002C60DA"/>
    <w:rsid w:val="002D21FA"/>
    <w:rsid w:val="002D2EC6"/>
    <w:rsid w:val="002D4EB8"/>
    <w:rsid w:val="002D4EE4"/>
    <w:rsid w:val="002E07EE"/>
    <w:rsid w:val="002E0CCF"/>
    <w:rsid w:val="002E1AF8"/>
    <w:rsid w:val="002E36A6"/>
    <w:rsid w:val="002E54F5"/>
    <w:rsid w:val="002E6475"/>
    <w:rsid w:val="002E7709"/>
    <w:rsid w:val="002F5FAF"/>
    <w:rsid w:val="00300545"/>
    <w:rsid w:val="003024F0"/>
    <w:rsid w:val="00303617"/>
    <w:rsid w:val="0030492E"/>
    <w:rsid w:val="003060EB"/>
    <w:rsid w:val="00306FF7"/>
    <w:rsid w:val="00307B7B"/>
    <w:rsid w:val="00307DE5"/>
    <w:rsid w:val="00310F86"/>
    <w:rsid w:val="00315B04"/>
    <w:rsid w:val="00315C3A"/>
    <w:rsid w:val="00317763"/>
    <w:rsid w:val="00320C20"/>
    <w:rsid w:val="0032315D"/>
    <w:rsid w:val="00325C24"/>
    <w:rsid w:val="00330807"/>
    <w:rsid w:val="00331594"/>
    <w:rsid w:val="003319EC"/>
    <w:rsid w:val="00333D22"/>
    <w:rsid w:val="00334FAF"/>
    <w:rsid w:val="00340F69"/>
    <w:rsid w:val="00341989"/>
    <w:rsid w:val="00342AF0"/>
    <w:rsid w:val="003447BB"/>
    <w:rsid w:val="00347F9F"/>
    <w:rsid w:val="00350AAF"/>
    <w:rsid w:val="00351D19"/>
    <w:rsid w:val="0035269E"/>
    <w:rsid w:val="00352A2A"/>
    <w:rsid w:val="0035357F"/>
    <w:rsid w:val="003601CF"/>
    <w:rsid w:val="003633AD"/>
    <w:rsid w:val="003657AB"/>
    <w:rsid w:val="00370622"/>
    <w:rsid w:val="00370FC7"/>
    <w:rsid w:val="0037171D"/>
    <w:rsid w:val="00371FF8"/>
    <w:rsid w:val="00373847"/>
    <w:rsid w:val="003748A7"/>
    <w:rsid w:val="003760BD"/>
    <w:rsid w:val="00376685"/>
    <w:rsid w:val="00376B28"/>
    <w:rsid w:val="0037762B"/>
    <w:rsid w:val="00377D97"/>
    <w:rsid w:val="00380ED4"/>
    <w:rsid w:val="003815E3"/>
    <w:rsid w:val="00382E6E"/>
    <w:rsid w:val="00384151"/>
    <w:rsid w:val="00387642"/>
    <w:rsid w:val="003915C5"/>
    <w:rsid w:val="003A04E7"/>
    <w:rsid w:val="003A162E"/>
    <w:rsid w:val="003A1803"/>
    <w:rsid w:val="003A354B"/>
    <w:rsid w:val="003A607A"/>
    <w:rsid w:val="003B238C"/>
    <w:rsid w:val="003B23D1"/>
    <w:rsid w:val="003B4005"/>
    <w:rsid w:val="003B4C87"/>
    <w:rsid w:val="003B6A74"/>
    <w:rsid w:val="003C0112"/>
    <w:rsid w:val="003C1A63"/>
    <w:rsid w:val="003C6BEA"/>
    <w:rsid w:val="003D045C"/>
    <w:rsid w:val="003D0D6C"/>
    <w:rsid w:val="003D2348"/>
    <w:rsid w:val="003D58BA"/>
    <w:rsid w:val="003D61CB"/>
    <w:rsid w:val="003D66CE"/>
    <w:rsid w:val="003E1DFE"/>
    <w:rsid w:val="003E2E09"/>
    <w:rsid w:val="003E396C"/>
    <w:rsid w:val="003E3BF6"/>
    <w:rsid w:val="003E5D6E"/>
    <w:rsid w:val="003F20AC"/>
    <w:rsid w:val="003F2B6E"/>
    <w:rsid w:val="003F2DE9"/>
    <w:rsid w:val="003F3774"/>
    <w:rsid w:val="003F6CED"/>
    <w:rsid w:val="00403326"/>
    <w:rsid w:val="004122B4"/>
    <w:rsid w:val="00413DF2"/>
    <w:rsid w:val="00414E7C"/>
    <w:rsid w:val="00415388"/>
    <w:rsid w:val="00416592"/>
    <w:rsid w:val="004173C5"/>
    <w:rsid w:val="004200A0"/>
    <w:rsid w:val="004204A7"/>
    <w:rsid w:val="0042374E"/>
    <w:rsid w:val="004240D9"/>
    <w:rsid w:val="0042592F"/>
    <w:rsid w:val="004261C0"/>
    <w:rsid w:val="00427184"/>
    <w:rsid w:val="0042731D"/>
    <w:rsid w:val="00430FEE"/>
    <w:rsid w:val="00432F8F"/>
    <w:rsid w:val="00433265"/>
    <w:rsid w:val="0043437F"/>
    <w:rsid w:val="00435F26"/>
    <w:rsid w:val="00437603"/>
    <w:rsid w:val="004447EB"/>
    <w:rsid w:val="00445B8E"/>
    <w:rsid w:val="004461D9"/>
    <w:rsid w:val="00446A76"/>
    <w:rsid w:val="00452C38"/>
    <w:rsid w:val="004568B8"/>
    <w:rsid w:val="004630DE"/>
    <w:rsid w:val="00463F22"/>
    <w:rsid w:val="00465D61"/>
    <w:rsid w:val="00465E22"/>
    <w:rsid w:val="00466237"/>
    <w:rsid w:val="004665DB"/>
    <w:rsid w:val="00467561"/>
    <w:rsid w:val="00467FC4"/>
    <w:rsid w:val="004741F4"/>
    <w:rsid w:val="00476146"/>
    <w:rsid w:val="00476C89"/>
    <w:rsid w:val="004777C9"/>
    <w:rsid w:val="00477D14"/>
    <w:rsid w:val="00480D15"/>
    <w:rsid w:val="00483610"/>
    <w:rsid w:val="004852AE"/>
    <w:rsid w:val="00485C48"/>
    <w:rsid w:val="00485FF4"/>
    <w:rsid w:val="00486147"/>
    <w:rsid w:val="004866AD"/>
    <w:rsid w:val="004877F4"/>
    <w:rsid w:val="00490009"/>
    <w:rsid w:val="004907BA"/>
    <w:rsid w:val="00490EC1"/>
    <w:rsid w:val="0049178B"/>
    <w:rsid w:val="004942A2"/>
    <w:rsid w:val="0049585A"/>
    <w:rsid w:val="00496EAF"/>
    <w:rsid w:val="004A1E82"/>
    <w:rsid w:val="004A2C0D"/>
    <w:rsid w:val="004A35C4"/>
    <w:rsid w:val="004A4E19"/>
    <w:rsid w:val="004B10CA"/>
    <w:rsid w:val="004B33BF"/>
    <w:rsid w:val="004B5EC1"/>
    <w:rsid w:val="004B7096"/>
    <w:rsid w:val="004C3812"/>
    <w:rsid w:val="004C50E4"/>
    <w:rsid w:val="004C5C16"/>
    <w:rsid w:val="004C5D53"/>
    <w:rsid w:val="004C74C2"/>
    <w:rsid w:val="004D030F"/>
    <w:rsid w:val="004D127B"/>
    <w:rsid w:val="004D2462"/>
    <w:rsid w:val="004D249B"/>
    <w:rsid w:val="004D386B"/>
    <w:rsid w:val="004D53B6"/>
    <w:rsid w:val="004E41B1"/>
    <w:rsid w:val="004E456D"/>
    <w:rsid w:val="004E6F7B"/>
    <w:rsid w:val="004E78A7"/>
    <w:rsid w:val="004F2062"/>
    <w:rsid w:val="004F4F21"/>
    <w:rsid w:val="004F6C36"/>
    <w:rsid w:val="005002F0"/>
    <w:rsid w:val="005037AB"/>
    <w:rsid w:val="00511218"/>
    <w:rsid w:val="00511492"/>
    <w:rsid w:val="00514BA1"/>
    <w:rsid w:val="00517194"/>
    <w:rsid w:val="0052179A"/>
    <w:rsid w:val="00523422"/>
    <w:rsid w:val="005234FF"/>
    <w:rsid w:val="00523961"/>
    <w:rsid w:val="00524CF0"/>
    <w:rsid w:val="005259FB"/>
    <w:rsid w:val="00526D07"/>
    <w:rsid w:val="00530E8C"/>
    <w:rsid w:val="005334C2"/>
    <w:rsid w:val="00533D3B"/>
    <w:rsid w:val="005348C6"/>
    <w:rsid w:val="00536896"/>
    <w:rsid w:val="00540518"/>
    <w:rsid w:val="00542979"/>
    <w:rsid w:val="005436D2"/>
    <w:rsid w:val="00543CB0"/>
    <w:rsid w:val="005445B6"/>
    <w:rsid w:val="00545980"/>
    <w:rsid w:val="00547331"/>
    <w:rsid w:val="00547822"/>
    <w:rsid w:val="00547F33"/>
    <w:rsid w:val="00552D7D"/>
    <w:rsid w:val="005564B3"/>
    <w:rsid w:val="00556F99"/>
    <w:rsid w:val="0055794D"/>
    <w:rsid w:val="00557960"/>
    <w:rsid w:val="00557DFF"/>
    <w:rsid w:val="00562B35"/>
    <w:rsid w:val="00562D26"/>
    <w:rsid w:val="00567B61"/>
    <w:rsid w:val="00567FA0"/>
    <w:rsid w:val="005708F1"/>
    <w:rsid w:val="00572FC0"/>
    <w:rsid w:val="00573667"/>
    <w:rsid w:val="005737A5"/>
    <w:rsid w:val="00574A21"/>
    <w:rsid w:val="00575099"/>
    <w:rsid w:val="0057569E"/>
    <w:rsid w:val="0057650B"/>
    <w:rsid w:val="0057733B"/>
    <w:rsid w:val="00581AC6"/>
    <w:rsid w:val="00581FDA"/>
    <w:rsid w:val="00583C0E"/>
    <w:rsid w:val="00585167"/>
    <w:rsid w:val="00585A8C"/>
    <w:rsid w:val="005903D0"/>
    <w:rsid w:val="005936A5"/>
    <w:rsid w:val="005970E4"/>
    <w:rsid w:val="00597FB7"/>
    <w:rsid w:val="005A0029"/>
    <w:rsid w:val="005A3916"/>
    <w:rsid w:val="005A3AF4"/>
    <w:rsid w:val="005A3BF5"/>
    <w:rsid w:val="005A4358"/>
    <w:rsid w:val="005A595A"/>
    <w:rsid w:val="005A6B95"/>
    <w:rsid w:val="005B2544"/>
    <w:rsid w:val="005B27B1"/>
    <w:rsid w:val="005B518F"/>
    <w:rsid w:val="005B55F4"/>
    <w:rsid w:val="005B5649"/>
    <w:rsid w:val="005B6B51"/>
    <w:rsid w:val="005C00E6"/>
    <w:rsid w:val="005C1922"/>
    <w:rsid w:val="005C3118"/>
    <w:rsid w:val="005C43E7"/>
    <w:rsid w:val="005C5272"/>
    <w:rsid w:val="005C5F49"/>
    <w:rsid w:val="005D16E9"/>
    <w:rsid w:val="005D2443"/>
    <w:rsid w:val="005D3C12"/>
    <w:rsid w:val="005D48A0"/>
    <w:rsid w:val="005D5F6D"/>
    <w:rsid w:val="005E2C7A"/>
    <w:rsid w:val="005E3B20"/>
    <w:rsid w:val="005E79B1"/>
    <w:rsid w:val="005F5D29"/>
    <w:rsid w:val="005F7916"/>
    <w:rsid w:val="00601121"/>
    <w:rsid w:val="006017A0"/>
    <w:rsid w:val="0060368E"/>
    <w:rsid w:val="00604BAA"/>
    <w:rsid w:val="00605533"/>
    <w:rsid w:val="00605586"/>
    <w:rsid w:val="00614953"/>
    <w:rsid w:val="00614E23"/>
    <w:rsid w:val="0061589B"/>
    <w:rsid w:val="006164E5"/>
    <w:rsid w:val="0061675A"/>
    <w:rsid w:val="0061730E"/>
    <w:rsid w:val="00625046"/>
    <w:rsid w:val="00625B35"/>
    <w:rsid w:val="00625B6D"/>
    <w:rsid w:val="006261F9"/>
    <w:rsid w:val="00627190"/>
    <w:rsid w:val="00632F5C"/>
    <w:rsid w:val="00633335"/>
    <w:rsid w:val="00633408"/>
    <w:rsid w:val="0063692F"/>
    <w:rsid w:val="00636E48"/>
    <w:rsid w:val="006375DA"/>
    <w:rsid w:val="00640A81"/>
    <w:rsid w:val="00640C88"/>
    <w:rsid w:val="00641FD4"/>
    <w:rsid w:val="00642B26"/>
    <w:rsid w:val="00645879"/>
    <w:rsid w:val="00646D90"/>
    <w:rsid w:val="00646FA2"/>
    <w:rsid w:val="006526AF"/>
    <w:rsid w:val="006533F6"/>
    <w:rsid w:val="006536C1"/>
    <w:rsid w:val="0065455C"/>
    <w:rsid w:val="0065529F"/>
    <w:rsid w:val="006569AC"/>
    <w:rsid w:val="00657A80"/>
    <w:rsid w:val="006628BF"/>
    <w:rsid w:val="00662DD9"/>
    <w:rsid w:val="00667DC3"/>
    <w:rsid w:val="006709B2"/>
    <w:rsid w:val="00671152"/>
    <w:rsid w:val="0067199E"/>
    <w:rsid w:val="00675641"/>
    <w:rsid w:val="00676B63"/>
    <w:rsid w:val="0068081E"/>
    <w:rsid w:val="0068289E"/>
    <w:rsid w:val="00682902"/>
    <w:rsid w:val="0068301F"/>
    <w:rsid w:val="00684354"/>
    <w:rsid w:val="006848CD"/>
    <w:rsid w:val="00684A60"/>
    <w:rsid w:val="00690362"/>
    <w:rsid w:val="00690A80"/>
    <w:rsid w:val="006924E0"/>
    <w:rsid w:val="0069527F"/>
    <w:rsid w:val="0069560E"/>
    <w:rsid w:val="00697FD8"/>
    <w:rsid w:val="006A1252"/>
    <w:rsid w:val="006A1663"/>
    <w:rsid w:val="006A607D"/>
    <w:rsid w:val="006A68AF"/>
    <w:rsid w:val="006A6AF3"/>
    <w:rsid w:val="006A6E08"/>
    <w:rsid w:val="006B30FD"/>
    <w:rsid w:val="006B3147"/>
    <w:rsid w:val="006B5CF3"/>
    <w:rsid w:val="006B7E92"/>
    <w:rsid w:val="006C0694"/>
    <w:rsid w:val="006C26BA"/>
    <w:rsid w:val="006C2B06"/>
    <w:rsid w:val="006C308A"/>
    <w:rsid w:val="006C4423"/>
    <w:rsid w:val="006C4CF0"/>
    <w:rsid w:val="006D2C9F"/>
    <w:rsid w:val="006D3F48"/>
    <w:rsid w:val="006D596E"/>
    <w:rsid w:val="006D784C"/>
    <w:rsid w:val="006E111A"/>
    <w:rsid w:val="006E290E"/>
    <w:rsid w:val="006E2CB7"/>
    <w:rsid w:val="006E3B9F"/>
    <w:rsid w:val="006E4179"/>
    <w:rsid w:val="006E576A"/>
    <w:rsid w:val="006E5E5C"/>
    <w:rsid w:val="006F00A9"/>
    <w:rsid w:val="006F1D3A"/>
    <w:rsid w:val="006F26F7"/>
    <w:rsid w:val="006F2B8E"/>
    <w:rsid w:val="006F50FA"/>
    <w:rsid w:val="006F64EE"/>
    <w:rsid w:val="006F6884"/>
    <w:rsid w:val="006F7EA4"/>
    <w:rsid w:val="00700A3E"/>
    <w:rsid w:val="00701CE2"/>
    <w:rsid w:val="00705139"/>
    <w:rsid w:val="0070582A"/>
    <w:rsid w:val="00712072"/>
    <w:rsid w:val="007123ED"/>
    <w:rsid w:val="007140DC"/>
    <w:rsid w:val="00714664"/>
    <w:rsid w:val="00714827"/>
    <w:rsid w:val="0071539D"/>
    <w:rsid w:val="0071543B"/>
    <w:rsid w:val="0071584B"/>
    <w:rsid w:val="00720B44"/>
    <w:rsid w:val="00720EA3"/>
    <w:rsid w:val="007211E6"/>
    <w:rsid w:val="007233E9"/>
    <w:rsid w:val="00723A7F"/>
    <w:rsid w:val="00723B3E"/>
    <w:rsid w:val="0073629A"/>
    <w:rsid w:val="00736FB4"/>
    <w:rsid w:val="0073769F"/>
    <w:rsid w:val="0074064F"/>
    <w:rsid w:val="00740EB7"/>
    <w:rsid w:val="0074213D"/>
    <w:rsid w:val="00743B30"/>
    <w:rsid w:val="007447AA"/>
    <w:rsid w:val="00745876"/>
    <w:rsid w:val="007517BE"/>
    <w:rsid w:val="00751C55"/>
    <w:rsid w:val="0075473B"/>
    <w:rsid w:val="007570DA"/>
    <w:rsid w:val="0075784E"/>
    <w:rsid w:val="00760177"/>
    <w:rsid w:val="007622A0"/>
    <w:rsid w:val="007628AB"/>
    <w:rsid w:val="00762EEA"/>
    <w:rsid w:val="00764CDC"/>
    <w:rsid w:val="00766084"/>
    <w:rsid w:val="0076759E"/>
    <w:rsid w:val="00770401"/>
    <w:rsid w:val="00772295"/>
    <w:rsid w:val="0077319D"/>
    <w:rsid w:val="00775798"/>
    <w:rsid w:val="00775A54"/>
    <w:rsid w:val="00775DDB"/>
    <w:rsid w:val="007774BA"/>
    <w:rsid w:val="00777674"/>
    <w:rsid w:val="00777E72"/>
    <w:rsid w:val="00780CC5"/>
    <w:rsid w:val="00781EA6"/>
    <w:rsid w:val="00782679"/>
    <w:rsid w:val="00784603"/>
    <w:rsid w:val="007847A2"/>
    <w:rsid w:val="00785512"/>
    <w:rsid w:val="00785AA8"/>
    <w:rsid w:val="00787256"/>
    <w:rsid w:val="00787BE3"/>
    <w:rsid w:val="00792601"/>
    <w:rsid w:val="007931B4"/>
    <w:rsid w:val="0079445A"/>
    <w:rsid w:val="0079453F"/>
    <w:rsid w:val="007945C5"/>
    <w:rsid w:val="00795BB7"/>
    <w:rsid w:val="0079C103"/>
    <w:rsid w:val="007A0EAA"/>
    <w:rsid w:val="007A19CA"/>
    <w:rsid w:val="007A3E15"/>
    <w:rsid w:val="007A408F"/>
    <w:rsid w:val="007A5591"/>
    <w:rsid w:val="007A5EA9"/>
    <w:rsid w:val="007A71F6"/>
    <w:rsid w:val="007A7C9E"/>
    <w:rsid w:val="007B0B03"/>
    <w:rsid w:val="007B2BA5"/>
    <w:rsid w:val="007B799F"/>
    <w:rsid w:val="007C1A1F"/>
    <w:rsid w:val="007C718C"/>
    <w:rsid w:val="007C7CD9"/>
    <w:rsid w:val="007C7EDE"/>
    <w:rsid w:val="007D0277"/>
    <w:rsid w:val="007D131A"/>
    <w:rsid w:val="007D14CA"/>
    <w:rsid w:val="007D4412"/>
    <w:rsid w:val="007D69D8"/>
    <w:rsid w:val="007D7647"/>
    <w:rsid w:val="007E095E"/>
    <w:rsid w:val="007E2628"/>
    <w:rsid w:val="007E5E5F"/>
    <w:rsid w:val="007F0386"/>
    <w:rsid w:val="007F2559"/>
    <w:rsid w:val="007F4550"/>
    <w:rsid w:val="007F72D1"/>
    <w:rsid w:val="00802969"/>
    <w:rsid w:val="00803535"/>
    <w:rsid w:val="00803EB2"/>
    <w:rsid w:val="00804C96"/>
    <w:rsid w:val="00805EFB"/>
    <w:rsid w:val="008072AB"/>
    <w:rsid w:val="00807679"/>
    <w:rsid w:val="008118A6"/>
    <w:rsid w:val="00814BDC"/>
    <w:rsid w:val="00817E83"/>
    <w:rsid w:val="008205FD"/>
    <w:rsid w:val="008210F1"/>
    <w:rsid w:val="008221FB"/>
    <w:rsid w:val="00831DC0"/>
    <w:rsid w:val="0083675C"/>
    <w:rsid w:val="00836913"/>
    <w:rsid w:val="00841960"/>
    <w:rsid w:val="008435B7"/>
    <w:rsid w:val="008463DB"/>
    <w:rsid w:val="0084687D"/>
    <w:rsid w:val="00854D1B"/>
    <w:rsid w:val="0085622D"/>
    <w:rsid w:val="008575AC"/>
    <w:rsid w:val="00857C45"/>
    <w:rsid w:val="00861B1D"/>
    <w:rsid w:val="00863DB8"/>
    <w:rsid w:val="0086518E"/>
    <w:rsid w:val="00867DAE"/>
    <w:rsid w:val="008725ED"/>
    <w:rsid w:val="00872EA0"/>
    <w:rsid w:val="0087697F"/>
    <w:rsid w:val="008769C2"/>
    <w:rsid w:val="00876F1A"/>
    <w:rsid w:val="0087704C"/>
    <w:rsid w:val="00877CD1"/>
    <w:rsid w:val="008862B6"/>
    <w:rsid w:val="00887773"/>
    <w:rsid w:val="00890652"/>
    <w:rsid w:val="00893535"/>
    <w:rsid w:val="00893CF1"/>
    <w:rsid w:val="00896196"/>
    <w:rsid w:val="0089657F"/>
    <w:rsid w:val="008A24A7"/>
    <w:rsid w:val="008A30DF"/>
    <w:rsid w:val="008A6C2D"/>
    <w:rsid w:val="008B011E"/>
    <w:rsid w:val="008B0CFF"/>
    <w:rsid w:val="008B3101"/>
    <w:rsid w:val="008B3F8C"/>
    <w:rsid w:val="008B6064"/>
    <w:rsid w:val="008B6BB9"/>
    <w:rsid w:val="008B76D7"/>
    <w:rsid w:val="008C0488"/>
    <w:rsid w:val="008C331D"/>
    <w:rsid w:val="008C39EB"/>
    <w:rsid w:val="008C42E7"/>
    <w:rsid w:val="008D00A7"/>
    <w:rsid w:val="008D130E"/>
    <w:rsid w:val="008D6DA3"/>
    <w:rsid w:val="008E0BDF"/>
    <w:rsid w:val="008E17AA"/>
    <w:rsid w:val="008E2D11"/>
    <w:rsid w:val="008E3EA0"/>
    <w:rsid w:val="008E4261"/>
    <w:rsid w:val="008E4A2D"/>
    <w:rsid w:val="008E54E6"/>
    <w:rsid w:val="008E5E3C"/>
    <w:rsid w:val="008E5E8A"/>
    <w:rsid w:val="008E6495"/>
    <w:rsid w:val="008E7379"/>
    <w:rsid w:val="008F15FD"/>
    <w:rsid w:val="008F1B78"/>
    <w:rsid w:val="008F38A3"/>
    <w:rsid w:val="008F4BB2"/>
    <w:rsid w:val="008F63B4"/>
    <w:rsid w:val="008F7DD5"/>
    <w:rsid w:val="009001FB"/>
    <w:rsid w:val="00900BDB"/>
    <w:rsid w:val="00900CC8"/>
    <w:rsid w:val="00900FC8"/>
    <w:rsid w:val="009022A7"/>
    <w:rsid w:val="00903430"/>
    <w:rsid w:val="00903DAF"/>
    <w:rsid w:val="009045F1"/>
    <w:rsid w:val="00907A2C"/>
    <w:rsid w:val="00910DFC"/>
    <w:rsid w:val="00911C8E"/>
    <w:rsid w:val="00912C31"/>
    <w:rsid w:val="00912EE6"/>
    <w:rsid w:val="009136E9"/>
    <w:rsid w:val="00914149"/>
    <w:rsid w:val="00921DD5"/>
    <w:rsid w:val="00924E12"/>
    <w:rsid w:val="00925822"/>
    <w:rsid w:val="009276BF"/>
    <w:rsid w:val="0093300D"/>
    <w:rsid w:val="00934C71"/>
    <w:rsid w:val="00936648"/>
    <w:rsid w:val="0094179C"/>
    <w:rsid w:val="00942094"/>
    <w:rsid w:val="009422C4"/>
    <w:rsid w:val="00944403"/>
    <w:rsid w:val="009449C4"/>
    <w:rsid w:val="00945E70"/>
    <w:rsid w:val="009464F0"/>
    <w:rsid w:val="00946A7C"/>
    <w:rsid w:val="00947789"/>
    <w:rsid w:val="00951331"/>
    <w:rsid w:val="00951667"/>
    <w:rsid w:val="009553E4"/>
    <w:rsid w:val="009563F0"/>
    <w:rsid w:val="009563F3"/>
    <w:rsid w:val="0096059C"/>
    <w:rsid w:val="0096146E"/>
    <w:rsid w:val="0096395A"/>
    <w:rsid w:val="00966A44"/>
    <w:rsid w:val="009675DB"/>
    <w:rsid w:val="009726B3"/>
    <w:rsid w:val="00977B2A"/>
    <w:rsid w:val="00977E0B"/>
    <w:rsid w:val="00985B26"/>
    <w:rsid w:val="0098652C"/>
    <w:rsid w:val="009868A4"/>
    <w:rsid w:val="00990C10"/>
    <w:rsid w:val="0099159B"/>
    <w:rsid w:val="00991EE9"/>
    <w:rsid w:val="009924AC"/>
    <w:rsid w:val="009943C1"/>
    <w:rsid w:val="00994825"/>
    <w:rsid w:val="009965D1"/>
    <w:rsid w:val="009968CC"/>
    <w:rsid w:val="009A08DC"/>
    <w:rsid w:val="009A122D"/>
    <w:rsid w:val="009A4B3A"/>
    <w:rsid w:val="009A55AB"/>
    <w:rsid w:val="009A6856"/>
    <w:rsid w:val="009B2515"/>
    <w:rsid w:val="009B26C4"/>
    <w:rsid w:val="009B404E"/>
    <w:rsid w:val="009B6497"/>
    <w:rsid w:val="009B6A19"/>
    <w:rsid w:val="009C14C8"/>
    <w:rsid w:val="009C1B95"/>
    <w:rsid w:val="009C279C"/>
    <w:rsid w:val="009C3231"/>
    <w:rsid w:val="009C33BB"/>
    <w:rsid w:val="009C4173"/>
    <w:rsid w:val="009C433A"/>
    <w:rsid w:val="009C582A"/>
    <w:rsid w:val="009C5C2F"/>
    <w:rsid w:val="009C5F67"/>
    <w:rsid w:val="009C7AD5"/>
    <w:rsid w:val="009D2F8F"/>
    <w:rsid w:val="009D52BD"/>
    <w:rsid w:val="009D783E"/>
    <w:rsid w:val="009E2880"/>
    <w:rsid w:val="009E5E71"/>
    <w:rsid w:val="009E633E"/>
    <w:rsid w:val="009F0A28"/>
    <w:rsid w:val="009F1289"/>
    <w:rsid w:val="009F659F"/>
    <w:rsid w:val="009F7F91"/>
    <w:rsid w:val="00A00D0C"/>
    <w:rsid w:val="00A00E29"/>
    <w:rsid w:val="00A025CE"/>
    <w:rsid w:val="00A04690"/>
    <w:rsid w:val="00A12266"/>
    <w:rsid w:val="00A138C6"/>
    <w:rsid w:val="00A227F3"/>
    <w:rsid w:val="00A23030"/>
    <w:rsid w:val="00A2580D"/>
    <w:rsid w:val="00A25E47"/>
    <w:rsid w:val="00A26B45"/>
    <w:rsid w:val="00A27453"/>
    <w:rsid w:val="00A276DC"/>
    <w:rsid w:val="00A3017D"/>
    <w:rsid w:val="00A30F25"/>
    <w:rsid w:val="00A32AF8"/>
    <w:rsid w:val="00A32B8C"/>
    <w:rsid w:val="00A358BC"/>
    <w:rsid w:val="00A36BFC"/>
    <w:rsid w:val="00A37C88"/>
    <w:rsid w:val="00A40B33"/>
    <w:rsid w:val="00A40F11"/>
    <w:rsid w:val="00A44368"/>
    <w:rsid w:val="00A447C4"/>
    <w:rsid w:val="00A44B03"/>
    <w:rsid w:val="00A46B10"/>
    <w:rsid w:val="00A479D7"/>
    <w:rsid w:val="00A50422"/>
    <w:rsid w:val="00A504E4"/>
    <w:rsid w:val="00A5334F"/>
    <w:rsid w:val="00A55C70"/>
    <w:rsid w:val="00A567C8"/>
    <w:rsid w:val="00A62AEE"/>
    <w:rsid w:val="00A62FB4"/>
    <w:rsid w:val="00A64445"/>
    <w:rsid w:val="00A67316"/>
    <w:rsid w:val="00A704E3"/>
    <w:rsid w:val="00A72EF1"/>
    <w:rsid w:val="00A75C38"/>
    <w:rsid w:val="00A770A2"/>
    <w:rsid w:val="00A77FFD"/>
    <w:rsid w:val="00A8064B"/>
    <w:rsid w:val="00A8163E"/>
    <w:rsid w:val="00A831F9"/>
    <w:rsid w:val="00A850B8"/>
    <w:rsid w:val="00A855CB"/>
    <w:rsid w:val="00A85B12"/>
    <w:rsid w:val="00A8653F"/>
    <w:rsid w:val="00A90ED4"/>
    <w:rsid w:val="00A90FD8"/>
    <w:rsid w:val="00A917AE"/>
    <w:rsid w:val="00A923C5"/>
    <w:rsid w:val="00A92C01"/>
    <w:rsid w:val="00A935AE"/>
    <w:rsid w:val="00A93FF1"/>
    <w:rsid w:val="00A94264"/>
    <w:rsid w:val="00AA262C"/>
    <w:rsid w:val="00AA4917"/>
    <w:rsid w:val="00AA4C9E"/>
    <w:rsid w:val="00AB0DC6"/>
    <w:rsid w:val="00AB0F6F"/>
    <w:rsid w:val="00AB258D"/>
    <w:rsid w:val="00AB4F4A"/>
    <w:rsid w:val="00AB5CB4"/>
    <w:rsid w:val="00AC3BD3"/>
    <w:rsid w:val="00AC44D5"/>
    <w:rsid w:val="00AC56F9"/>
    <w:rsid w:val="00AC6099"/>
    <w:rsid w:val="00AC7B69"/>
    <w:rsid w:val="00AD129B"/>
    <w:rsid w:val="00AD5FBD"/>
    <w:rsid w:val="00AE11DE"/>
    <w:rsid w:val="00AE3344"/>
    <w:rsid w:val="00AE44FC"/>
    <w:rsid w:val="00AE5263"/>
    <w:rsid w:val="00AE66D3"/>
    <w:rsid w:val="00AF1D50"/>
    <w:rsid w:val="00AF3C41"/>
    <w:rsid w:val="00AF5FA3"/>
    <w:rsid w:val="00AF69E3"/>
    <w:rsid w:val="00AF7487"/>
    <w:rsid w:val="00B0017B"/>
    <w:rsid w:val="00B05318"/>
    <w:rsid w:val="00B0753E"/>
    <w:rsid w:val="00B07FD3"/>
    <w:rsid w:val="00B117BC"/>
    <w:rsid w:val="00B12028"/>
    <w:rsid w:val="00B120F4"/>
    <w:rsid w:val="00B12756"/>
    <w:rsid w:val="00B13DE2"/>
    <w:rsid w:val="00B13FF9"/>
    <w:rsid w:val="00B15FB5"/>
    <w:rsid w:val="00B164B1"/>
    <w:rsid w:val="00B16892"/>
    <w:rsid w:val="00B1724C"/>
    <w:rsid w:val="00B20DE5"/>
    <w:rsid w:val="00B21C6E"/>
    <w:rsid w:val="00B21DC7"/>
    <w:rsid w:val="00B22509"/>
    <w:rsid w:val="00B27DE4"/>
    <w:rsid w:val="00B33F2B"/>
    <w:rsid w:val="00B34CF5"/>
    <w:rsid w:val="00B35B56"/>
    <w:rsid w:val="00B37005"/>
    <w:rsid w:val="00B417EB"/>
    <w:rsid w:val="00B41EB6"/>
    <w:rsid w:val="00B43670"/>
    <w:rsid w:val="00B448AC"/>
    <w:rsid w:val="00B47FCC"/>
    <w:rsid w:val="00B5056C"/>
    <w:rsid w:val="00B521F6"/>
    <w:rsid w:val="00B60AD8"/>
    <w:rsid w:val="00B61DB0"/>
    <w:rsid w:val="00B61EF6"/>
    <w:rsid w:val="00B64D4C"/>
    <w:rsid w:val="00B666DD"/>
    <w:rsid w:val="00B711B4"/>
    <w:rsid w:val="00B74531"/>
    <w:rsid w:val="00B75A21"/>
    <w:rsid w:val="00B77104"/>
    <w:rsid w:val="00B7733B"/>
    <w:rsid w:val="00B8118B"/>
    <w:rsid w:val="00B82B0A"/>
    <w:rsid w:val="00B900E8"/>
    <w:rsid w:val="00B912E9"/>
    <w:rsid w:val="00B91760"/>
    <w:rsid w:val="00B91D0F"/>
    <w:rsid w:val="00B9612C"/>
    <w:rsid w:val="00B96B36"/>
    <w:rsid w:val="00BA0D1B"/>
    <w:rsid w:val="00BA148A"/>
    <w:rsid w:val="00BA39E7"/>
    <w:rsid w:val="00BA4F2A"/>
    <w:rsid w:val="00BA6043"/>
    <w:rsid w:val="00BA7289"/>
    <w:rsid w:val="00BB17CC"/>
    <w:rsid w:val="00BB4CBA"/>
    <w:rsid w:val="00BB512A"/>
    <w:rsid w:val="00BB7DEE"/>
    <w:rsid w:val="00BC3B16"/>
    <w:rsid w:val="00BC4964"/>
    <w:rsid w:val="00BC5379"/>
    <w:rsid w:val="00BD0DBD"/>
    <w:rsid w:val="00BD217C"/>
    <w:rsid w:val="00BD2554"/>
    <w:rsid w:val="00BD2B5D"/>
    <w:rsid w:val="00BD3F59"/>
    <w:rsid w:val="00BD4EC6"/>
    <w:rsid w:val="00BD72B2"/>
    <w:rsid w:val="00BE0841"/>
    <w:rsid w:val="00BE2144"/>
    <w:rsid w:val="00BE39AB"/>
    <w:rsid w:val="00BE41CB"/>
    <w:rsid w:val="00BE45D2"/>
    <w:rsid w:val="00BE54F4"/>
    <w:rsid w:val="00BE60C9"/>
    <w:rsid w:val="00BF008A"/>
    <w:rsid w:val="00BF2654"/>
    <w:rsid w:val="00BF4A07"/>
    <w:rsid w:val="00BF6153"/>
    <w:rsid w:val="00C00401"/>
    <w:rsid w:val="00C01607"/>
    <w:rsid w:val="00C035DC"/>
    <w:rsid w:val="00C05B60"/>
    <w:rsid w:val="00C0738E"/>
    <w:rsid w:val="00C10C87"/>
    <w:rsid w:val="00C10D7B"/>
    <w:rsid w:val="00C12468"/>
    <w:rsid w:val="00C164FC"/>
    <w:rsid w:val="00C17073"/>
    <w:rsid w:val="00C20803"/>
    <w:rsid w:val="00C228A7"/>
    <w:rsid w:val="00C2341A"/>
    <w:rsid w:val="00C24881"/>
    <w:rsid w:val="00C33D9C"/>
    <w:rsid w:val="00C36091"/>
    <w:rsid w:val="00C3652F"/>
    <w:rsid w:val="00C37453"/>
    <w:rsid w:val="00C37A00"/>
    <w:rsid w:val="00C37F48"/>
    <w:rsid w:val="00C40507"/>
    <w:rsid w:val="00C40E6E"/>
    <w:rsid w:val="00C4358C"/>
    <w:rsid w:val="00C43B7E"/>
    <w:rsid w:val="00C43F2E"/>
    <w:rsid w:val="00C45D00"/>
    <w:rsid w:val="00C468C6"/>
    <w:rsid w:val="00C5060F"/>
    <w:rsid w:val="00C51182"/>
    <w:rsid w:val="00C52BF1"/>
    <w:rsid w:val="00C52D76"/>
    <w:rsid w:val="00C53F93"/>
    <w:rsid w:val="00C60B9C"/>
    <w:rsid w:val="00C6200B"/>
    <w:rsid w:val="00C63A1E"/>
    <w:rsid w:val="00C6449E"/>
    <w:rsid w:val="00C644E2"/>
    <w:rsid w:val="00C6692D"/>
    <w:rsid w:val="00C705F1"/>
    <w:rsid w:val="00C70A48"/>
    <w:rsid w:val="00C71AF3"/>
    <w:rsid w:val="00C72AA4"/>
    <w:rsid w:val="00C72C31"/>
    <w:rsid w:val="00C72F71"/>
    <w:rsid w:val="00C74478"/>
    <w:rsid w:val="00C75A28"/>
    <w:rsid w:val="00C77369"/>
    <w:rsid w:val="00C77BA4"/>
    <w:rsid w:val="00C8104A"/>
    <w:rsid w:val="00C81A1E"/>
    <w:rsid w:val="00C8279B"/>
    <w:rsid w:val="00C82F07"/>
    <w:rsid w:val="00C84B78"/>
    <w:rsid w:val="00C872FA"/>
    <w:rsid w:val="00C904BE"/>
    <w:rsid w:val="00C932D5"/>
    <w:rsid w:val="00C93FFF"/>
    <w:rsid w:val="00C950E4"/>
    <w:rsid w:val="00C95DC2"/>
    <w:rsid w:val="00C97907"/>
    <w:rsid w:val="00CA0001"/>
    <w:rsid w:val="00CA1655"/>
    <w:rsid w:val="00CA184D"/>
    <w:rsid w:val="00CA2DF4"/>
    <w:rsid w:val="00CA466B"/>
    <w:rsid w:val="00CA4D2B"/>
    <w:rsid w:val="00CA5E51"/>
    <w:rsid w:val="00CA679E"/>
    <w:rsid w:val="00CB0971"/>
    <w:rsid w:val="00CB40DE"/>
    <w:rsid w:val="00CB6B5D"/>
    <w:rsid w:val="00CB75B8"/>
    <w:rsid w:val="00CC1555"/>
    <w:rsid w:val="00CC1AC9"/>
    <w:rsid w:val="00CC49CF"/>
    <w:rsid w:val="00CC4E6E"/>
    <w:rsid w:val="00CC5200"/>
    <w:rsid w:val="00CC712D"/>
    <w:rsid w:val="00CC786D"/>
    <w:rsid w:val="00CD3436"/>
    <w:rsid w:val="00CD481C"/>
    <w:rsid w:val="00CD5A3E"/>
    <w:rsid w:val="00CD7CB4"/>
    <w:rsid w:val="00CE36CE"/>
    <w:rsid w:val="00CE721A"/>
    <w:rsid w:val="00CF07C2"/>
    <w:rsid w:val="00CF09EA"/>
    <w:rsid w:val="00CF0B94"/>
    <w:rsid w:val="00CF2F1C"/>
    <w:rsid w:val="00CF6706"/>
    <w:rsid w:val="00CF763E"/>
    <w:rsid w:val="00D0331D"/>
    <w:rsid w:val="00D045F9"/>
    <w:rsid w:val="00D04D47"/>
    <w:rsid w:val="00D11C64"/>
    <w:rsid w:val="00D12CA3"/>
    <w:rsid w:val="00D16C7F"/>
    <w:rsid w:val="00D20C22"/>
    <w:rsid w:val="00D24664"/>
    <w:rsid w:val="00D250C7"/>
    <w:rsid w:val="00D272A4"/>
    <w:rsid w:val="00D275E1"/>
    <w:rsid w:val="00D30336"/>
    <w:rsid w:val="00D30B4E"/>
    <w:rsid w:val="00D311F7"/>
    <w:rsid w:val="00D33E74"/>
    <w:rsid w:val="00D35FAC"/>
    <w:rsid w:val="00D401DB"/>
    <w:rsid w:val="00D40B2B"/>
    <w:rsid w:val="00D42C12"/>
    <w:rsid w:val="00D42D7A"/>
    <w:rsid w:val="00D467CE"/>
    <w:rsid w:val="00D46D6C"/>
    <w:rsid w:val="00D47298"/>
    <w:rsid w:val="00D474E2"/>
    <w:rsid w:val="00D51B1B"/>
    <w:rsid w:val="00D525EB"/>
    <w:rsid w:val="00D54B7E"/>
    <w:rsid w:val="00D613ED"/>
    <w:rsid w:val="00D61F4A"/>
    <w:rsid w:val="00D64ED2"/>
    <w:rsid w:val="00D6706A"/>
    <w:rsid w:val="00D70E71"/>
    <w:rsid w:val="00D742F3"/>
    <w:rsid w:val="00D76BFE"/>
    <w:rsid w:val="00D7710D"/>
    <w:rsid w:val="00D773A8"/>
    <w:rsid w:val="00D8020F"/>
    <w:rsid w:val="00D81965"/>
    <w:rsid w:val="00D82624"/>
    <w:rsid w:val="00D82820"/>
    <w:rsid w:val="00D83D75"/>
    <w:rsid w:val="00D86F63"/>
    <w:rsid w:val="00D93854"/>
    <w:rsid w:val="00D9493F"/>
    <w:rsid w:val="00D95309"/>
    <w:rsid w:val="00DA10E3"/>
    <w:rsid w:val="00DA3E8C"/>
    <w:rsid w:val="00DA53F4"/>
    <w:rsid w:val="00DA6606"/>
    <w:rsid w:val="00DA6895"/>
    <w:rsid w:val="00DB13BD"/>
    <w:rsid w:val="00DB4344"/>
    <w:rsid w:val="00DB487B"/>
    <w:rsid w:val="00DC040C"/>
    <w:rsid w:val="00DC0B72"/>
    <w:rsid w:val="00DC6068"/>
    <w:rsid w:val="00DC62F6"/>
    <w:rsid w:val="00DC6A2D"/>
    <w:rsid w:val="00DC73BB"/>
    <w:rsid w:val="00DD0934"/>
    <w:rsid w:val="00DD0BBF"/>
    <w:rsid w:val="00DD14F7"/>
    <w:rsid w:val="00DD3504"/>
    <w:rsid w:val="00DE0208"/>
    <w:rsid w:val="00DE14A0"/>
    <w:rsid w:val="00DE155B"/>
    <w:rsid w:val="00DE3FA9"/>
    <w:rsid w:val="00DE551F"/>
    <w:rsid w:val="00DE6D10"/>
    <w:rsid w:val="00DF2A4D"/>
    <w:rsid w:val="00DF2E9C"/>
    <w:rsid w:val="00DF5261"/>
    <w:rsid w:val="00DF5284"/>
    <w:rsid w:val="00DF5859"/>
    <w:rsid w:val="00E00029"/>
    <w:rsid w:val="00E00C7F"/>
    <w:rsid w:val="00E03AED"/>
    <w:rsid w:val="00E04DD7"/>
    <w:rsid w:val="00E06A16"/>
    <w:rsid w:val="00E06EEB"/>
    <w:rsid w:val="00E07AB6"/>
    <w:rsid w:val="00E1024B"/>
    <w:rsid w:val="00E10E19"/>
    <w:rsid w:val="00E12436"/>
    <w:rsid w:val="00E1263A"/>
    <w:rsid w:val="00E14893"/>
    <w:rsid w:val="00E20A4A"/>
    <w:rsid w:val="00E20F7F"/>
    <w:rsid w:val="00E21E20"/>
    <w:rsid w:val="00E2317D"/>
    <w:rsid w:val="00E26B98"/>
    <w:rsid w:val="00E32130"/>
    <w:rsid w:val="00E3283E"/>
    <w:rsid w:val="00E3284F"/>
    <w:rsid w:val="00E3388A"/>
    <w:rsid w:val="00E34CA1"/>
    <w:rsid w:val="00E37871"/>
    <w:rsid w:val="00E37F04"/>
    <w:rsid w:val="00E40B7D"/>
    <w:rsid w:val="00E415EE"/>
    <w:rsid w:val="00E428FE"/>
    <w:rsid w:val="00E42B74"/>
    <w:rsid w:val="00E42C22"/>
    <w:rsid w:val="00E435CA"/>
    <w:rsid w:val="00E44CB9"/>
    <w:rsid w:val="00E45866"/>
    <w:rsid w:val="00E47ADA"/>
    <w:rsid w:val="00E50585"/>
    <w:rsid w:val="00E51CA1"/>
    <w:rsid w:val="00E537B6"/>
    <w:rsid w:val="00E66151"/>
    <w:rsid w:val="00E663D9"/>
    <w:rsid w:val="00E72C1D"/>
    <w:rsid w:val="00E73A5C"/>
    <w:rsid w:val="00E75A42"/>
    <w:rsid w:val="00E76952"/>
    <w:rsid w:val="00E76C15"/>
    <w:rsid w:val="00E77E9F"/>
    <w:rsid w:val="00E80BE9"/>
    <w:rsid w:val="00E81A4C"/>
    <w:rsid w:val="00E81EB3"/>
    <w:rsid w:val="00E90531"/>
    <w:rsid w:val="00E90608"/>
    <w:rsid w:val="00E909D0"/>
    <w:rsid w:val="00E921A2"/>
    <w:rsid w:val="00E92752"/>
    <w:rsid w:val="00E93604"/>
    <w:rsid w:val="00E96468"/>
    <w:rsid w:val="00E96C11"/>
    <w:rsid w:val="00E97ACD"/>
    <w:rsid w:val="00EA0317"/>
    <w:rsid w:val="00EA1014"/>
    <w:rsid w:val="00EA1F15"/>
    <w:rsid w:val="00EA22F6"/>
    <w:rsid w:val="00EA4551"/>
    <w:rsid w:val="00EA4F3A"/>
    <w:rsid w:val="00EA5EE9"/>
    <w:rsid w:val="00EB0E9D"/>
    <w:rsid w:val="00EB106F"/>
    <w:rsid w:val="00EC19C5"/>
    <w:rsid w:val="00EC1BF8"/>
    <w:rsid w:val="00EC2B9E"/>
    <w:rsid w:val="00EC316C"/>
    <w:rsid w:val="00EC37B9"/>
    <w:rsid w:val="00EC3B34"/>
    <w:rsid w:val="00EC5DE0"/>
    <w:rsid w:val="00EC7065"/>
    <w:rsid w:val="00ED044F"/>
    <w:rsid w:val="00ED0B54"/>
    <w:rsid w:val="00ED3218"/>
    <w:rsid w:val="00ED44FD"/>
    <w:rsid w:val="00ED577A"/>
    <w:rsid w:val="00ED6C16"/>
    <w:rsid w:val="00EE004C"/>
    <w:rsid w:val="00EE1D68"/>
    <w:rsid w:val="00EE606D"/>
    <w:rsid w:val="00EE60A2"/>
    <w:rsid w:val="00EF2B7D"/>
    <w:rsid w:val="00EF5267"/>
    <w:rsid w:val="00F006D6"/>
    <w:rsid w:val="00F01AB5"/>
    <w:rsid w:val="00F01E72"/>
    <w:rsid w:val="00F02578"/>
    <w:rsid w:val="00F06373"/>
    <w:rsid w:val="00F07925"/>
    <w:rsid w:val="00F113D9"/>
    <w:rsid w:val="00F12AAE"/>
    <w:rsid w:val="00F13F91"/>
    <w:rsid w:val="00F14629"/>
    <w:rsid w:val="00F17089"/>
    <w:rsid w:val="00F17816"/>
    <w:rsid w:val="00F21AE9"/>
    <w:rsid w:val="00F226B3"/>
    <w:rsid w:val="00F22971"/>
    <w:rsid w:val="00F2379E"/>
    <w:rsid w:val="00F2555E"/>
    <w:rsid w:val="00F3163B"/>
    <w:rsid w:val="00F31C31"/>
    <w:rsid w:val="00F32CCA"/>
    <w:rsid w:val="00F33647"/>
    <w:rsid w:val="00F34D04"/>
    <w:rsid w:val="00F34E91"/>
    <w:rsid w:val="00F37599"/>
    <w:rsid w:val="00F4022E"/>
    <w:rsid w:val="00F4127B"/>
    <w:rsid w:val="00F419AC"/>
    <w:rsid w:val="00F42EAE"/>
    <w:rsid w:val="00F43C57"/>
    <w:rsid w:val="00F445A6"/>
    <w:rsid w:val="00F44CAB"/>
    <w:rsid w:val="00F454AD"/>
    <w:rsid w:val="00F45534"/>
    <w:rsid w:val="00F45A3C"/>
    <w:rsid w:val="00F463C6"/>
    <w:rsid w:val="00F46C72"/>
    <w:rsid w:val="00F47D7B"/>
    <w:rsid w:val="00F5087F"/>
    <w:rsid w:val="00F5204E"/>
    <w:rsid w:val="00F53171"/>
    <w:rsid w:val="00F53CB5"/>
    <w:rsid w:val="00F542EB"/>
    <w:rsid w:val="00F5546D"/>
    <w:rsid w:val="00F55CAA"/>
    <w:rsid w:val="00F57D5A"/>
    <w:rsid w:val="00F610DD"/>
    <w:rsid w:val="00F6215F"/>
    <w:rsid w:val="00F643F8"/>
    <w:rsid w:val="00F6444A"/>
    <w:rsid w:val="00F662C3"/>
    <w:rsid w:val="00F67211"/>
    <w:rsid w:val="00F729B6"/>
    <w:rsid w:val="00F72A42"/>
    <w:rsid w:val="00F72AE4"/>
    <w:rsid w:val="00F74EC2"/>
    <w:rsid w:val="00F76739"/>
    <w:rsid w:val="00F8003B"/>
    <w:rsid w:val="00F80D60"/>
    <w:rsid w:val="00F815C0"/>
    <w:rsid w:val="00F83164"/>
    <w:rsid w:val="00F84883"/>
    <w:rsid w:val="00F85635"/>
    <w:rsid w:val="00F90511"/>
    <w:rsid w:val="00F91AA2"/>
    <w:rsid w:val="00F91BD0"/>
    <w:rsid w:val="00F93F08"/>
    <w:rsid w:val="00F943C1"/>
    <w:rsid w:val="00F95C65"/>
    <w:rsid w:val="00FA13A2"/>
    <w:rsid w:val="00FA3743"/>
    <w:rsid w:val="00FA4489"/>
    <w:rsid w:val="00FA4508"/>
    <w:rsid w:val="00FA52F4"/>
    <w:rsid w:val="00FA69FE"/>
    <w:rsid w:val="00FB2B67"/>
    <w:rsid w:val="00FB5A90"/>
    <w:rsid w:val="00FC2E71"/>
    <w:rsid w:val="00FC3F81"/>
    <w:rsid w:val="00FC5075"/>
    <w:rsid w:val="00FC5C6E"/>
    <w:rsid w:val="00FC7216"/>
    <w:rsid w:val="00FC7ED0"/>
    <w:rsid w:val="00FD1005"/>
    <w:rsid w:val="00FD3481"/>
    <w:rsid w:val="00FD7515"/>
    <w:rsid w:val="00FE09F8"/>
    <w:rsid w:val="00FE2BE7"/>
    <w:rsid w:val="00FE36EA"/>
    <w:rsid w:val="00FE5AED"/>
    <w:rsid w:val="00FF299D"/>
    <w:rsid w:val="00FF638C"/>
    <w:rsid w:val="011533B8"/>
    <w:rsid w:val="0292A6C4"/>
    <w:rsid w:val="029DC66C"/>
    <w:rsid w:val="041D961F"/>
    <w:rsid w:val="042E7725"/>
    <w:rsid w:val="19FDC650"/>
    <w:rsid w:val="22632DE7"/>
    <w:rsid w:val="28E7E31B"/>
    <w:rsid w:val="2EE4291B"/>
    <w:rsid w:val="3EEE3085"/>
    <w:rsid w:val="4323EA48"/>
    <w:rsid w:val="4ACD1488"/>
    <w:rsid w:val="4DD12B92"/>
    <w:rsid w:val="5B5408C7"/>
    <w:rsid w:val="68D1F57C"/>
    <w:rsid w:val="6F388BE0"/>
    <w:rsid w:val="74F34B79"/>
    <w:rsid w:val="75A3F786"/>
    <w:rsid w:val="79D34523"/>
    <w:rsid w:val="7E7916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CB7AD"/>
  <w15:chartTrackingRefBased/>
  <w15:docId w15:val="{DCD5DF3D-EA73-4310-B694-56C96E98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0401"/>
    <w:pPr>
      <w:jc w:val="both"/>
    </w:pPr>
    <w:rPr>
      <w:rFonts w:ascii="Open Sans" w:hAnsi="Open Sans"/>
    </w:rPr>
  </w:style>
  <w:style w:type="paragraph" w:styleId="Nadpis1">
    <w:name w:val="heading 1"/>
    <w:basedOn w:val="Normln"/>
    <w:next w:val="Normln"/>
    <w:link w:val="Nadpis1Char"/>
    <w:uiPriority w:val="9"/>
    <w:qFormat/>
    <w:rsid w:val="00C00401"/>
    <w:pPr>
      <w:outlineLvl w:val="0"/>
    </w:pPr>
    <w:rPr>
      <w:b/>
      <w:bCs/>
      <w:sz w:val="32"/>
      <w:szCs w:val="32"/>
    </w:rPr>
  </w:style>
  <w:style w:type="paragraph" w:styleId="Nadpis2">
    <w:name w:val="heading 2"/>
    <w:basedOn w:val="Normln"/>
    <w:next w:val="Normln"/>
    <w:link w:val="Nadpis2Char"/>
    <w:uiPriority w:val="9"/>
    <w:semiHidden/>
    <w:unhideWhenUsed/>
    <w:qFormat/>
    <w:rsid w:val="00EC5D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7F25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B404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404E"/>
  </w:style>
  <w:style w:type="paragraph" w:styleId="Zpat">
    <w:name w:val="footer"/>
    <w:basedOn w:val="Normln"/>
    <w:link w:val="ZpatChar"/>
    <w:uiPriority w:val="99"/>
    <w:unhideWhenUsed/>
    <w:rsid w:val="009B404E"/>
    <w:pPr>
      <w:tabs>
        <w:tab w:val="center" w:pos="4536"/>
        <w:tab w:val="right" w:pos="9072"/>
      </w:tabs>
      <w:spacing w:after="0" w:line="240" w:lineRule="auto"/>
    </w:pPr>
  </w:style>
  <w:style w:type="character" w:customStyle="1" w:styleId="ZpatChar">
    <w:name w:val="Zápatí Char"/>
    <w:basedOn w:val="Standardnpsmoodstavce"/>
    <w:link w:val="Zpat"/>
    <w:uiPriority w:val="99"/>
    <w:rsid w:val="009B404E"/>
  </w:style>
  <w:style w:type="character" w:customStyle="1" w:styleId="Nadpis1Char">
    <w:name w:val="Nadpis 1 Char"/>
    <w:basedOn w:val="Standardnpsmoodstavce"/>
    <w:link w:val="Nadpis1"/>
    <w:uiPriority w:val="9"/>
    <w:rsid w:val="00C00401"/>
    <w:rPr>
      <w:rFonts w:ascii="Open Sans" w:hAnsi="Open Sans"/>
      <w:b/>
      <w:bCs/>
      <w:sz w:val="32"/>
      <w:szCs w:val="32"/>
    </w:rPr>
  </w:style>
  <w:style w:type="character" w:styleId="Hypertextovodkaz">
    <w:name w:val="Hyperlink"/>
    <w:basedOn w:val="Standardnpsmoodstavce"/>
    <w:uiPriority w:val="99"/>
    <w:unhideWhenUsed/>
    <w:rsid w:val="00AC7B69"/>
    <w:rPr>
      <w:color w:val="0563C1" w:themeColor="hyperlink"/>
      <w:u w:val="single"/>
    </w:rPr>
  </w:style>
  <w:style w:type="character" w:styleId="Nevyeenzmnka">
    <w:name w:val="Unresolved Mention"/>
    <w:basedOn w:val="Standardnpsmoodstavce"/>
    <w:uiPriority w:val="99"/>
    <w:semiHidden/>
    <w:unhideWhenUsed/>
    <w:rsid w:val="00AC7B69"/>
    <w:rPr>
      <w:color w:val="605E5C"/>
      <w:shd w:val="clear" w:color="auto" w:fill="E1DFDD"/>
    </w:r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lnweb">
    <w:name w:val="Normal (Web)"/>
    <w:basedOn w:val="Normln"/>
    <w:uiPriority w:val="99"/>
    <w:semiHidden/>
    <w:unhideWhenUsed/>
    <w:rsid w:val="00C00401"/>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Perex">
    <w:name w:val="Perex"/>
    <w:basedOn w:val="Normln"/>
    <w:qFormat/>
    <w:rsid w:val="00C00401"/>
    <w:rPr>
      <w:b/>
      <w:bCs/>
    </w:rPr>
  </w:style>
  <w:style w:type="paragraph" w:customStyle="1" w:styleId="Boilerplate">
    <w:name w:val="Boiler plate"/>
    <w:basedOn w:val="Normln"/>
    <w:qFormat/>
    <w:rsid w:val="00C00401"/>
    <w:rPr>
      <w:i/>
      <w:iCs/>
      <w:sz w:val="20"/>
      <w:szCs w:val="20"/>
    </w:rPr>
  </w:style>
  <w:style w:type="paragraph" w:customStyle="1" w:styleId="Zahlavi">
    <w:name w:val="Zahlavi"/>
    <w:basedOn w:val="Zhlav"/>
    <w:qFormat/>
    <w:rsid w:val="00C00401"/>
    <w:rPr>
      <w:noProof/>
      <w:sz w:val="30"/>
      <w:szCs w:val="30"/>
    </w:rPr>
  </w:style>
  <w:style w:type="paragraph" w:customStyle="1" w:styleId="Citace">
    <w:name w:val="Citace"/>
    <w:basedOn w:val="Normln"/>
    <w:qFormat/>
    <w:rsid w:val="001E6AB9"/>
    <w:rPr>
      <w:i/>
      <w:iCs/>
    </w:rPr>
  </w:style>
  <w:style w:type="paragraph" w:styleId="Revize">
    <w:name w:val="Revision"/>
    <w:hidden/>
    <w:uiPriority w:val="99"/>
    <w:semiHidden/>
    <w:rsid w:val="00136991"/>
    <w:pPr>
      <w:spacing w:after="0" w:line="240" w:lineRule="auto"/>
    </w:pPr>
    <w:rPr>
      <w:rFonts w:ascii="Open Sans" w:hAnsi="Open Sans"/>
    </w:rPr>
  </w:style>
  <w:style w:type="character" w:styleId="Odkaznakoment">
    <w:name w:val="annotation reference"/>
    <w:basedOn w:val="Standardnpsmoodstavce"/>
    <w:uiPriority w:val="99"/>
    <w:semiHidden/>
    <w:unhideWhenUsed/>
    <w:rsid w:val="00FB2B67"/>
    <w:rPr>
      <w:sz w:val="16"/>
      <w:szCs w:val="16"/>
    </w:rPr>
  </w:style>
  <w:style w:type="paragraph" w:styleId="Textkomente">
    <w:name w:val="annotation text"/>
    <w:basedOn w:val="Normln"/>
    <w:link w:val="TextkomenteChar"/>
    <w:uiPriority w:val="99"/>
    <w:semiHidden/>
    <w:unhideWhenUsed/>
    <w:rsid w:val="00FB2B67"/>
    <w:pPr>
      <w:spacing w:line="240" w:lineRule="auto"/>
    </w:pPr>
    <w:rPr>
      <w:sz w:val="20"/>
      <w:szCs w:val="20"/>
    </w:rPr>
  </w:style>
  <w:style w:type="character" w:customStyle="1" w:styleId="TextkomenteChar">
    <w:name w:val="Text komentáře Char"/>
    <w:basedOn w:val="Standardnpsmoodstavce"/>
    <w:link w:val="Textkomente"/>
    <w:uiPriority w:val="99"/>
    <w:semiHidden/>
    <w:rsid w:val="00FB2B67"/>
    <w:rPr>
      <w:rFonts w:ascii="Open Sans" w:hAnsi="Open Sans"/>
      <w:sz w:val="20"/>
      <w:szCs w:val="20"/>
    </w:rPr>
  </w:style>
  <w:style w:type="paragraph" w:styleId="Pedmtkomente">
    <w:name w:val="annotation subject"/>
    <w:basedOn w:val="Textkomente"/>
    <w:next w:val="Textkomente"/>
    <w:link w:val="PedmtkomenteChar"/>
    <w:uiPriority w:val="99"/>
    <w:semiHidden/>
    <w:unhideWhenUsed/>
    <w:rsid w:val="00FB2B67"/>
    <w:rPr>
      <w:b/>
      <w:bCs/>
    </w:rPr>
  </w:style>
  <w:style w:type="character" w:customStyle="1" w:styleId="PedmtkomenteChar">
    <w:name w:val="Předmět komentáře Char"/>
    <w:basedOn w:val="TextkomenteChar"/>
    <w:link w:val="Pedmtkomente"/>
    <w:uiPriority w:val="99"/>
    <w:semiHidden/>
    <w:rsid w:val="00FB2B67"/>
    <w:rPr>
      <w:rFonts w:ascii="Open Sans" w:hAnsi="Open Sans"/>
      <w:b/>
      <w:bCs/>
      <w:sz w:val="20"/>
      <w:szCs w:val="20"/>
    </w:rPr>
  </w:style>
  <w:style w:type="character" w:styleId="Zdraznn">
    <w:name w:val="Emphasis"/>
    <w:basedOn w:val="Standardnpsmoodstavce"/>
    <w:uiPriority w:val="20"/>
    <w:qFormat/>
    <w:rsid w:val="00010B20"/>
    <w:rPr>
      <w:i/>
      <w:iCs/>
    </w:rPr>
  </w:style>
  <w:style w:type="paragraph" w:styleId="Odstavecseseznamem">
    <w:name w:val="List Paragraph"/>
    <w:basedOn w:val="Normln"/>
    <w:uiPriority w:val="34"/>
    <w:qFormat/>
    <w:rsid w:val="00C6449E"/>
    <w:pPr>
      <w:ind w:left="720"/>
      <w:contextualSpacing/>
    </w:pPr>
  </w:style>
  <w:style w:type="character" w:customStyle="1" w:styleId="Nadpis2Char">
    <w:name w:val="Nadpis 2 Char"/>
    <w:basedOn w:val="Standardnpsmoodstavce"/>
    <w:link w:val="Nadpis2"/>
    <w:uiPriority w:val="9"/>
    <w:semiHidden/>
    <w:rsid w:val="00EC5DE0"/>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7F255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1649">
      <w:bodyDiv w:val="1"/>
      <w:marLeft w:val="0"/>
      <w:marRight w:val="0"/>
      <w:marTop w:val="0"/>
      <w:marBottom w:val="0"/>
      <w:divBdr>
        <w:top w:val="none" w:sz="0" w:space="0" w:color="auto"/>
        <w:left w:val="none" w:sz="0" w:space="0" w:color="auto"/>
        <w:bottom w:val="none" w:sz="0" w:space="0" w:color="auto"/>
        <w:right w:val="none" w:sz="0" w:space="0" w:color="auto"/>
      </w:divBdr>
    </w:div>
    <w:div w:id="23528881">
      <w:bodyDiv w:val="1"/>
      <w:marLeft w:val="0"/>
      <w:marRight w:val="0"/>
      <w:marTop w:val="0"/>
      <w:marBottom w:val="0"/>
      <w:divBdr>
        <w:top w:val="none" w:sz="0" w:space="0" w:color="auto"/>
        <w:left w:val="none" w:sz="0" w:space="0" w:color="auto"/>
        <w:bottom w:val="none" w:sz="0" w:space="0" w:color="auto"/>
        <w:right w:val="none" w:sz="0" w:space="0" w:color="auto"/>
      </w:divBdr>
    </w:div>
    <w:div w:id="87235945">
      <w:bodyDiv w:val="1"/>
      <w:marLeft w:val="0"/>
      <w:marRight w:val="0"/>
      <w:marTop w:val="0"/>
      <w:marBottom w:val="0"/>
      <w:divBdr>
        <w:top w:val="none" w:sz="0" w:space="0" w:color="auto"/>
        <w:left w:val="none" w:sz="0" w:space="0" w:color="auto"/>
        <w:bottom w:val="none" w:sz="0" w:space="0" w:color="auto"/>
        <w:right w:val="none" w:sz="0" w:space="0" w:color="auto"/>
      </w:divBdr>
    </w:div>
    <w:div w:id="108864487">
      <w:bodyDiv w:val="1"/>
      <w:marLeft w:val="0"/>
      <w:marRight w:val="0"/>
      <w:marTop w:val="0"/>
      <w:marBottom w:val="0"/>
      <w:divBdr>
        <w:top w:val="none" w:sz="0" w:space="0" w:color="auto"/>
        <w:left w:val="none" w:sz="0" w:space="0" w:color="auto"/>
        <w:bottom w:val="none" w:sz="0" w:space="0" w:color="auto"/>
        <w:right w:val="none" w:sz="0" w:space="0" w:color="auto"/>
      </w:divBdr>
    </w:div>
    <w:div w:id="119302646">
      <w:bodyDiv w:val="1"/>
      <w:marLeft w:val="0"/>
      <w:marRight w:val="0"/>
      <w:marTop w:val="0"/>
      <w:marBottom w:val="0"/>
      <w:divBdr>
        <w:top w:val="none" w:sz="0" w:space="0" w:color="auto"/>
        <w:left w:val="none" w:sz="0" w:space="0" w:color="auto"/>
        <w:bottom w:val="none" w:sz="0" w:space="0" w:color="auto"/>
        <w:right w:val="none" w:sz="0" w:space="0" w:color="auto"/>
      </w:divBdr>
    </w:div>
    <w:div w:id="135728958">
      <w:bodyDiv w:val="1"/>
      <w:marLeft w:val="0"/>
      <w:marRight w:val="0"/>
      <w:marTop w:val="0"/>
      <w:marBottom w:val="0"/>
      <w:divBdr>
        <w:top w:val="none" w:sz="0" w:space="0" w:color="auto"/>
        <w:left w:val="none" w:sz="0" w:space="0" w:color="auto"/>
        <w:bottom w:val="none" w:sz="0" w:space="0" w:color="auto"/>
        <w:right w:val="none" w:sz="0" w:space="0" w:color="auto"/>
      </w:divBdr>
    </w:div>
    <w:div w:id="220021851">
      <w:bodyDiv w:val="1"/>
      <w:marLeft w:val="0"/>
      <w:marRight w:val="0"/>
      <w:marTop w:val="0"/>
      <w:marBottom w:val="0"/>
      <w:divBdr>
        <w:top w:val="none" w:sz="0" w:space="0" w:color="auto"/>
        <w:left w:val="none" w:sz="0" w:space="0" w:color="auto"/>
        <w:bottom w:val="none" w:sz="0" w:space="0" w:color="auto"/>
        <w:right w:val="none" w:sz="0" w:space="0" w:color="auto"/>
      </w:divBdr>
    </w:div>
    <w:div w:id="248462647">
      <w:bodyDiv w:val="1"/>
      <w:marLeft w:val="0"/>
      <w:marRight w:val="0"/>
      <w:marTop w:val="0"/>
      <w:marBottom w:val="0"/>
      <w:divBdr>
        <w:top w:val="none" w:sz="0" w:space="0" w:color="auto"/>
        <w:left w:val="none" w:sz="0" w:space="0" w:color="auto"/>
        <w:bottom w:val="none" w:sz="0" w:space="0" w:color="auto"/>
        <w:right w:val="none" w:sz="0" w:space="0" w:color="auto"/>
      </w:divBdr>
    </w:div>
    <w:div w:id="257521828">
      <w:bodyDiv w:val="1"/>
      <w:marLeft w:val="0"/>
      <w:marRight w:val="0"/>
      <w:marTop w:val="0"/>
      <w:marBottom w:val="0"/>
      <w:divBdr>
        <w:top w:val="none" w:sz="0" w:space="0" w:color="auto"/>
        <w:left w:val="none" w:sz="0" w:space="0" w:color="auto"/>
        <w:bottom w:val="none" w:sz="0" w:space="0" w:color="auto"/>
        <w:right w:val="none" w:sz="0" w:space="0" w:color="auto"/>
      </w:divBdr>
    </w:div>
    <w:div w:id="263999755">
      <w:bodyDiv w:val="1"/>
      <w:marLeft w:val="0"/>
      <w:marRight w:val="0"/>
      <w:marTop w:val="0"/>
      <w:marBottom w:val="0"/>
      <w:divBdr>
        <w:top w:val="none" w:sz="0" w:space="0" w:color="auto"/>
        <w:left w:val="none" w:sz="0" w:space="0" w:color="auto"/>
        <w:bottom w:val="none" w:sz="0" w:space="0" w:color="auto"/>
        <w:right w:val="none" w:sz="0" w:space="0" w:color="auto"/>
      </w:divBdr>
    </w:div>
    <w:div w:id="305479535">
      <w:bodyDiv w:val="1"/>
      <w:marLeft w:val="0"/>
      <w:marRight w:val="0"/>
      <w:marTop w:val="0"/>
      <w:marBottom w:val="0"/>
      <w:divBdr>
        <w:top w:val="none" w:sz="0" w:space="0" w:color="auto"/>
        <w:left w:val="none" w:sz="0" w:space="0" w:color="auto"/>
        <w:bottom w:val="none" w:sz="0" w:space="0" w:color="auto"/>
        <w:right w:val="none" w:sz="0" w:space="0" w:color="auto"/>
      </w:divBdr>
    </w:div>
    <w:div w:id="374736335">
      <w:bodyDiv w:val="1"/>
      <w:marLeft w:val="0"/>
      <w:marRight w:val="0"/>
      <w:marTop w:val="0"/>
      <w:marBottom w:val="0"/>
      <w:divBdr>
        <w:top w:val="none" w:sz="0" w:space="0" w:color="auto"/>
        <w:left w:val="none" w:sz="0" w:space="0" w:color="auto"/>
        <w:bottom w:val="none" w:sz="0" w:space="0" w:color="auto"/>
        <w:right w:val="none" w:sz="0" w:space="0" w:color="auto"/>
      </w:divBdr>
    </w:div>
    <w:div w:id="390349733">
      <w:bodyDiv w:val="1"/>
      <w:marLeft w:val="0"/>
      <w:marRight w:val="0"/>
      <w:marTop w:val="0"/>
      <w:marBottom w:val="0"/>
      <w:divBdr>
        <w:top w:val="none" w:sz="0" w:space="0" w:color="auto"/>
        <w:left w:val="none" w:sz="0" w:space="0" w:color="auto"/>
        <w:bottom w:val="none" w:sz="0" w:space="0" w:color="auto"/>
        <w:right w:val="none" w:sz="0" w:space="0" w:color="auto"/>
      </w:divBdr>
    </w:div>
    <w:div w:id="400298302">
      <w:bodyDiv w:val="1"/>
      <w:marLeft w:val="0"/>
      <w:marRight w:val="0"/>
      <w:marTop w:val="0"/>
      <w:marBottom w:val="0"/>
      <w:divBdr>
        <w:top w:val="none" w:sz="0" w:space="0" w:color="auto"/>
        <w:left w:val="none" w:sz="0" w:space="0" w:color="auto"/>
        <w:bottom w:val="none" w:sz="0" w:space="0" w:color="auto"/>
        <w:right w:val="none" w:sz="0" w:space="0" w:color="auto"/>
      </w:divBdr>
    </w:div>
    <w:div w:id="402341633">
      <w:bodyDiv w:val="1"/>
      <w:marLeft w:val="0"/>
      <w:marRight w:val="0"/>
      <w:marTop w:val="0"/>
      <w:marBottom w:val="0"/>
      <w:divBdr>
        <w:top w:val="none" w:sz="0" w:space="0" w:color="auto"/>
        <w:left w:val="none" w:sz="0" w:space="0" w:color="auto"/>
        <w:bottom w:val="none" w:sz="0" w:space="0" w:color="auto"/>
        <w:right w:val="none" w:sz="0" w:space="0" w:color="auto"/>
      </w:divBdr>
    </w:div>
    <w:div w:id="437259602">
      <w:bodyDiv w:val="1"/>
      <w:marLeft w:val="0"/>
      <w:marRight w:val="0"/>
      <w:marTop w:val="0"/>
      <w:marBottom w:val="0"/>
      <w:divBdr>
        <w:top w:val="none" w:sz="0" w:space="0" w:color="auto"/>
        <w:left w:val="none" w:sz="0" w:space="0" w:color="auto"/>
        <w:bottom w:val="none" w:sz="0" w:space="0" w:color="auto"/>
        <w:right w:val="none" w:sz="0" w:space="0" w:color="auto"/>
      </w:divBdr>
    </w:div>
    <w:div w:id="455680593">
      <w:bodyDiv w:val="1"/>
      <w:marLeft w:val="0"/>
      <w:marRight w:val="0"/>
      <w:marTop w:val="0"/>
      <w:marBottom w:val="0"/>
      <w:divBdr>
        <w:top w:val="none" w:sz="0" w:space="0" w:color="auto"/>
        <w:left w:val="none" w:sz="0" w:space="0" w:color="auto"/>
        <w:bottom w:val="none" w:sz="0" w:space="0" w:color="auto"/>
        <w:right w:val="none" w:sz="0" w:space="0" w:color="auto"/>
      </w:divBdr>
      <w:divsChild>
        <w:div w:id="210852624">
          <w:marLeft w:val="0"/>
          <w:marRight w:val="0"/>
          <w:marTop w:val="0"/>
          <w:marBottom w:val="0"/>
          <w:divBdr>
            <w:top w:val="none" w:sz="0" w:space="0" w:color="auto"/>
            <w:left w:val="none" w:sz="0" w:space="0" w:color="auto"/>
            <w:bottom w:val="none" w:sz="0" w:space="0" w:color="auto"/>
            <w:right w:val="none" w:sz="0" w:space="0" w:color="auto"/>
          </w:divBdr>
        </w:div>
        <w:div w:id="96752556">
          <w:marLeft w:val="0"/>
          <w:marRight w:val="0"/>
          <w:marTop w:val="0"/>
          <w:marBottom w:val="0"/>
          <w:divBdr>
            <w:top w:val="none" w:sz="0" w:space="0" w:color="auto"/>
            <w:left w:val="none" w:sz="0" w:space="0" w:color="auto"/>
            <w:bottom w:val="none" w:sz="0" w:space="0" w:color="auto"/>
            <w:right w:val="none" w:sz="0" w:space="0" w:color="auto"/>
          </w:divBdr>
          <w:divsChild>
            <w:div w:id="113453512">
              <w:marLeft w:val="0"/>
              <w:marRight w:val="0"/>
              <w:marTop w:val="0"/>
              <w:marBottom w:val="0"/>
              <w:divBdr>
                <w:top w:val="none" w:sz="0" w:space="0" w:color="auto"/>
                <w:left w:val="none" w:sz="0" w:space="0" w:color="auto"/>
                <w:bottom w:val="none" w:sz="0" w:space="0" w:color="auto"/>
                <w:right w:val="none" w:sz="0" w:space="0" w:color="auto"/>
              </w:divBdr>
            </w:div>
            <w:div w:id="1711219438">
              <w:marLeft w:val="0"/>
              <w:marRight w:val="0"/>
              <w:marTop w:val="0"/>
              <w:marBottom w:val="0"/>
              <w:divBdr>
                <w:top w:val="none" w:sz="0" w:space="0" w:color="auto"/>
                <w:left w:val="none" w:sz="0" w:space="0" w:color="auto"/>
                <w:bottom w:val="none" w:sz="0" w:space="0" w:color="auto"/>
                <w:right w:val="none" w:sz="0" w:space="0" w:color="auto"/>
              </w:divBdr>
            </w:div>
            <w:div w:id="242186839">
              <w:marLeft w:val="0"/>
              <w:marRight w:val="0"/>
              <w:marTop w:val="0"/>
              <w:marBottom w:val="0"/>
              <w:divBdr>
                <w:top w:val="none" w:sz="0" w:space="0" w:color="auto"/>
                <w:left w:val="none" w:sz="0" w:space="0" w:color="auto"/>
                <w:bottom w:val="none" w:sz="0" w:space="0" w:color="auto"/>
                <w:right w:val="none" w:sz="0" w:space="0" w:color="auto"/>
              </w:divBdr>
            </w:div>
            <w:div w:id="188375922">
              <w:marLeft w:val="0"/>
              <w:marRight w:val="0"/>
              <w:marTop w:val="0"/>
              <w:marBottom w:val="0"/>
              <w:divBdr>
                <w:top w:val="none" w:sz="0" w:space="0" w:color="auto"/>
                <w:left w:val="none" w:sz="0" w:space="0" w:color="auto"/>
                <w:bottom w:val="none" w:sz="0" w:space="0" w:color="auto"/>
                <w:right w:val="none" w:sz="0" w:space="0" w:color="auto"/>
              </w:divBdr>
            </w:div>
            <w:div w:id="534776210">
              <w:marLeft w:val="0"/>
              <w:marRight w:val="0"/>
              <w:marTop w:val="0"/>
              <w:marBottom w:val="0"/>
              <w:divBdr>
                <w:top w:val="none" w:sz="0" w:space="0" w:color="auto"/>
                <w:left w:val="none" w:sz="0" w:space="0" w:color="auto"/>
                <w:bottom w:val="none" w:sz="0" w:space="0" w:color="auto"/>
                <w:right w:val="none" w:sz="0" w:space="0" w:color="auto"/>
              </w:divBdr>
            </w:div>
            <w:div w:id="558177651">
              <w:marLeft w:val="0"/>
              <w:marRight w:val="0"/>
              <w:marTop w:val="0"/>
              <w:marBottom w:val="0"/>
              <w:divBdr>
                <w:top w:val="none" w:sz="0" w:space="0" w:color="auto"/>
                <w:left w:val="none" w:sz="0" w:space="0" w:color="auto"/>
                <w:bottom w:val="none" w:sz="0" w:space="0" w:color="auto"/>
                <w:right w:val="none" w:sz="0" w:space="0" w:color="auto"/>
              </w:divBdr>
            </w:div>
            <w:div w:id="773548947">
              <w:marLeft w:val="0"/>
              <w:marRight w:val="0"/>
              <w:marTop w:val="0"/>
              <w:marBottom w:val="0"/>
              <w:divBdr>
                <w:top w:val="none" w:sz="0" w:space="0" w:color="auto"/>
                <w:left w:val="none" w:sz="0" w:space="0" w:color="auto"/>
                <w:bottom w:val="none" w:sz="0" w:space="0" w:color="auto"/>
                <w:right w:val="none" w:sz="0" w:space="0" w:color="auto"/>
              </w:divBdr>
              <w:divsChild>
                <w:div w:id="1973291266">
                  <w:marLeft w:val="0"/>
                  <w:marRight w:val="0"/>
                  <w:marTop w:val="0"/>
                  <w:marBottom w:val="0"/>
                  <w:divBdr>
                    <w:top w:val="none" w:sz="0" w:space="0" w:color="auto"/>
                    <w:left w:val="none" w:sz="0" w:space="0" w:color="auto"/>
                    <w:bottom w:val="none" w:sz="0" w:space="0" w:color="auto"/>
                    <w:right w:val="none" w:sz="0" w:space="0" w:color="auto"/>
                  </w:divBdr>
                  <w:divsChild>
                    <w:div w:id="11966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191118">
      <w:bodyDiv w:val="1"/>
      <w:marLeft w:val="0"/>
      <w:marRight w:val="0"/>
      <w:marTop w:val="0"/>
      <w:marBottom w:val="0"/>
      <w:divBdr>
        <w:top w:val="none" w:sz="0" w:space="0" w:color="auto"/>
        <w:left w:val="none" w:sz="0" w:space="0" w:color="auto"/>
        <w:bottom w:val="none" w:sz="0" w:space="0" w:color="auto"/>
        <w:right w:val="none" w:sz="0" w:space="0" w:color="auto"/>
      </w:divBdr>
    </w:div>
    <w:div w:id="569577670">
      <w:bodyDiv w:val="1"/>
      <w:marLeft w:val="0"/>
      <w:marRight w:val="0"/>
      <w:marTop w:val="0"/>
      <w:marBottom w:val="0"/>
      <w:divBdr>
        <w:top w:val="none" w:sz="0" w:space="0" w:color="auto"/>
        <w:left w:val="none" w:sz="0" w:space="0" w:color="auto"/>
        <w:bottom w:val="none" w:sz="0" w:space="0" w:color="auto"/>
        <w:right w:val="none" w:sz="0" w:space="0" w:color="auto"/>
      </w:divBdr>
    </w:div>
    <w:div w:id="620382163">
      <w:bodyDiv w:val="1"/>
      <w:marLeft w:val="0"/>
      <w:marRight w:val="0"/>
      <w:marTop w:val="0"/>
      <w:marBottom w:val="0"/>
      <w:divBdr>
        <w:top w:val="none" w:sz="0" w:space="0" w:color="auto"/>
        <w:left w:val="none" w:sz="0" w:space="0" w:color="auto"/>
        <w:bottom w:val="none" w:sz="0" w:space="0" w:color="auto"/>
        <w:right w:val="none" w:sz="0" w:space="0" w:color="auto"/>
      </w:divBdr>
    </w:div>
    <w:div w:id="633099179">
      <w:bodyDiv w:val="1"/>
      <w:marLeft w:val="0"/>
      <w:marRight w:val="0"/>
      <w:marTop w:val="0"/>
      <w:marBottom w:val="0"/>
      <w:divBdr>
        <w:top w:val="none" w:sz="0" w:space="0" w:color="auto"/>
        <w:left w:val="none" w:sz="0" w:space="0" w:color="auto"/>
        <w:bottom w:val="none" w:sz="0" w:space="0" w:color="auto"/>
        <w:right w:val="none" w:sz="0" w:space="0" w:color="auto"/>
      </w:divBdr>
      <w:divsChild>
        <w:div w:id="83234551">
          <w:marLeft w:val="0"/>
          <w:marRight w:val="0"/>
          <w:marTop w:val="0"/>
          <w:marBottom w:val="0"/>
          <w:divBdr>
            <w:top w:val="none" w:sz="0" w:space="0" w:color="auto"/>
            <w:left w:val="none" w:sz="0" w:space="0" w:color="auto"/>
            <w:bottom w:val="none" w:sz="0" w:space="0" w:color="auto"/>
            <w:right w:val="none" w:sz="0" w:space="0" w:color="auto"/>
          </w:divBdr>
        </w:div>
      </w:divsChild>
    </w:div>
    <w:div w:id="641083656">
      <w:bodyDiv w:val="1"/>
      <w:marLeft w:val="0"/>
      <w:marRight w:val="0"/>
      <w:marTop w:val="0"/>
      <w:marBottom w:val="0"/>
      <w:divBdr>
        <w:top w:val="none" w:sz="0" w:space="0" w:color="auto"/>
        <w:left w:val="none" w:sz="0" w:space="0" w:color="auto"/>
        <w:bottom w:val="none" w:sz="0" w:space="0" w:color="auto"/>
        <w:right w:val="none" w:sz="0" w:space="0" w:color="auto"/>
      </w:divBdr>
    </w:div>
    <w:div w:id="643969205">
      <w:bodyDiv w:val="1"/>
      <w:marLeft w:val="0"/>
      <w:marRight w:val="0"/>
      <w:marTop w:val="0"/>
      <w:marBottom w:val="0"/>
      <w:divBdr>
        <w:top w:val="none" w:sz="0" w:space="0" w:color="auto"/>
        <w:left w:val="none" w:sz="0" w:space="0" w:color="auto"/>
        <w:bottom w:val="none" w:sz="0" w:space="0" w:color="auto"/>
        <w:right w:val="none" w:sz="0" w:space="0" w:color="auto"/>
      </w:divBdr>
    </w:div>
    <w:div w:id="657733527">
      <w:bodyDiv w:val="1"/>
      <w:marLeft w:val="0"/>
      <w:marRight w:val="0"/>
      <w:marTop w:val="0"/>
      <w:marBottom w:val="0"/>
      <w:divBdr>
        <w:top w:val="none" w:sz="0" w:space="0" w:color="auto"/>
        <w:left w:val="none" w:sz="0" w:space="0" w:color="auto"/>
        <w:bottom w:val="none" w:sz="0" w:space="0" w:color="auto"/>
        <w:right w:val="none" w:sz="0" w:space="0" w:color="auto"/>
      </w:divBdr>
    </w:div>
    <w:div w:id="712265980">
      <w:bodyDiv w:val="1"/>
      <w:marLeft w:val="0"/>
      <w:marRight w:val="0"/>
      <w:marTop w:val="0"/>
      <w:marBottom w:val="0"/>
      <w:divBdr>
        <w:top w:val="none" w:sz="0" w:space="0" w:color="auto"/>
        <w:left w:val="none" w:sz="0" w:space="0" w:color="auto"/>
        <w:bottom w:val="none" w:sz="0" w:space="0" w:color="auto"/>
        <w:right w:val="none" w:sz="0" w:space="0" w:color="auto"/>
      </w:divBdr>
    </w:div>
    <w:div w:id="757100873">
      <w:bodyDiv w:val="1"/>
      <w:marLeft w:val="0"/>
      <w:marRight w:val="0"/>
      <w:marTop w:val="0"/>
      <w:marBottom w:val="0"/>
      <w:divBdr>
        <w:top w:val="none" w:sz="0" w:space="0" w:color="auto"/>
        <w:left w:val="none" w:sz="0" w:space="0" w:color="auto"/>
        <w:bottom w:val="none" w:sz="0" w:space="0" w:color="auto"/>
        <w:right w:val="none" w:sz="0" w:space="0" w:color="auto"/>
      </w:divBdr>
    </w:div>
    <w:div w:id="786391394">
      <w:bodyDiv w:val="1"/>
      <w:marLeft w:val="0"/>
      <w:marRight w:val="0"/>
      <w:marTop w:val="0"/>
      <w:marBottom w:val="0"/>
      <w:divBdr>
        <w:top w:val="none" w:sz="0" w:space="0" w:color="auto"/>
        <w:left w:val="none" w:sz="0" w:space="0" w:color="auto"/>
        <w:bottom w:val="none" w:sz="0" w:space="0" w:color="auto"/>
        <w:right w:val="none" w:sz="0" w:space="0" w:color="auto"/>
      </w:divBdr>
    </w:div>
    <w:div w:id="791366522">
      <w:bodyDiv w:val="1"/>
      <w:marLeft w:val="0"/>
      <w:marRight w:val="0"/>
      <w:marTop w:val="0"/>
      <w:marBottom w:val="0"/>
      <w:divBdr>
        <w:top w:val="none" w:sz="0" w:space="0" w:color="auto"/>
        <w:left w:val="none" w:sz="0" w:space="0" w:color="auto"/>
        <w:bottom w:val="none" w:sz="0" w:space="0" w:color="auto"/>
        <w:right w:val="none" w:sz="0" w:space="0" w:color="auto"/>
      </w:divBdr>
    </w:div>
    <w:div w:id="797603939">
      <w:bodyDiv w:val="1"/>
      <w:marLeft w:val="0"/>
      <w:marRight w:val="0"/>
      <w:marTop w:val="0"/>
      <w:marBottom w:val="0"/>
      <w:divBdr>
        <w:top w:val="none" w:sz="0" w:space="0" w:color="auto"/>
        <w:left w:val="none" w:sz="0" w:space="0" w:color="auto"/>
        <w:bottom w:val="none" w:sz="0" w:space="0" w:color="auto"/>
        <w:right w:val="none" w:sz="0" w:space="0" w:color="auto"/>
      </w:divBdr>
    </w:div>
    <w:div w:id="806092958">
      <w:bodyDiv w:val="1"/>
      <w:marLeft w:val="0"/>
      <w:marRight w:val="0"/>
      <w:marTop w:val="0"/>
      <w:marBottom w:val="0"/>
      <w:divBdr>
        <w:top w:val="none" w:sz="0" w:space="0" w:color="auto"/>
        <w:left w:val="none" w:sz="0" w:space="0" w:color="auto"/>
        <w:bottom w:val="none" w:sz="0" w:space="0" w:color="auto"/>
        <w:right w:val="none" w:sz="0" w:space="0" w:color="auto"/>
      </w:divBdr>
    </w:div>
    <w:div w:id="879512380">
      <w:bodyDiv w:val="1"/>
      <w:marLeft w:val="0"/>
      <w:marRight w:val="0"/>
      <w:marTop w:val="0"/>
      <w:marBottom w:val="0"/>
      <w:divBdr>
        <w:top w:val="none" w:sz="0" w:space="0" w:color="auto"/>
        <w:left w:val="none" w:sz="0" w:space="0" w:color="auto"/>
        <w:bottom w:val="none" w:sz="0" w:space="0" w:color="auto"/>
        <w:right w:val="none" w:sz="0" w:space="0" w:color="auto"/>
      </w:divBdr>
    </w:div>
    <w:div w:id="884558106">
      <w:bodyDiv w:val="1"/>
      <w:marLeft w:val="0"/>
      <w:marRight w:val="0"/>
      <w:marTop w:val="0"/>
      <w:marBottom w:val="0"/>
      <w:divBdr>
        <w:top w:val="none" w:sz="0" w:space="0" w:color="auto"/>
        <w:left w:val="none" w:sz="0" w:space="0" w:color="auto"/>
        <w:bottom w:val="none" w:sz="0" w:space="0" w:color="auto"/>
        <w:right w:val="none" w:sz="0" w:space="0" w:color="auto"/>
      </w:divBdr>
    </w:div>
    <w:div w:id="907574236">
      <w:bodyDiv w:val="1"/>
      <w:marLeft w:val="0"/>
      <w:marRight w:val="0"/>
      <w:marTop w:val="0"/>
      <w:marBottom w:val="0"/>
      <w:divBdr>
        <w:top w:val="none" w:sz="0" w:space="0" w:color="auto"/>
        <w:left w:val="none" w:sz="0" w:space="0" w:color="auto"/>
        <w:bottom w:val="none" w:sz="0" w:space="0" w:color="auto"/>
        <w:right w:val="none" w:sz="0" w:space="0" w:color="auto"/>
      </w:divBdr>
    </w:div>
    <w:div w:id="913976184">
      <w:bodyDiv w:val="1"/>
      <w:marLeft w:val="0"/>
      <w:marRight w:val="0"/>
      <w:marTop w:val="0"/>
      <w:marBottom w:val="0"/>
      <w:divBdr>
        <w:top w:val="none" w:sz="0" w:space="0" w:color="auto"/>
        <w:left w:val="none" w:sz="0" w:space="0" w:color="auto"/>
        <w:bottom w:val="none" w:sz="0" w:space="0" w:color="auto"/>
        <w:right w:val="none" w:sz="0" w:space="0" w:color="auto"/>
      </w:divBdr>
    </w:div>
    <w:div w:id="962930125">
      <w:bodyDiv w:val="1"/>
      <w:marLeft w:val="0"/>
      <w:marRight w:val="0"/>
      <w:marTop w:val="0"/>
      <w:marBottom w:val="0"/>
      <w:divBdr>
        <w:top w:val="none" w:sz="0" w:space="0" w:color="auto"/>
        <w:left w:val="none" w:sz="0" w:space="0" w:color="auto"/>
        <w:bottom w:val="none" w:sz="0" w:space="0" w:color="auto"/>
        <w:right w:val="none" w:sz="0" w:space="0" w:color="auto"/>
      </w:divBdr>
    </w:div>
    <w:div w:id="975767079">
      <w:bodyDiv w:val="1"/>
      <w:marLeft w:val="0"/>
      <w:marRight w:val="0"/>
      <w:marTop w:val="0"/>
      <w:marBottom w:val="0"/>
      <w:divBdr>
        <w:top w:val="none" w:sz="0" w:space="0" w:color="auto"/>
        <w:left w:val="none" w:sz="0" w:space="0" w:color="auto"/>
        <w:bottom w:val="none" w:sz="0" w:space="0" w:color="auto"/>
        <w:right w:val="none" w:sz="0" w:space="0" w:color="auto"/>
      </w:divBdr>
    </w:div>
    <w:div w:id="998535059">
      <w:bodyDiv w:val="1"/>
      <w:marLeft w:val="0"/>
      <w:marRight w:val="0"/>
      <w:marTop w:val="0"/>
      <w:marBottom w:val="0"/>
      <w:divBdr>
        <w:top w:val="none" w:sz="0" w:space="0" w:color="auto"/>
        <w:left w:val="none" w:sz="0" w:space="0" w:color="auto"/>
        <w:bottom w:val="none" w:sz="0" w:space="0" w:color="auto"/>
        <w:right w:val="none" w:sz="0" w:space="0" w:color="auto"/>
      </w:divBdr>
    </w:div>
    <w:div w:id="1005210860">
      <w:bodyDiv w:val="1"/>
      <w:marLeft w:val="0"/>
      <w:marRight w:val="0"/>
      <w:marTop w:val="0"/>
      <w:marBottom w:val="0"/>
      <w:divBdr>
        <w:top w:val="none" w:sz="0" w:space="0" w:color="auto"/>
        <w:left w:val="none" w:sz="0" w:space="0" w:color="auto"/>
        <w:bottom w:val="none" w:sz="0" w:space="0" w:color="auto"/>
        <w:right w:val="none" w:sz="0" w:space="0" w:color="auto"/>
      </w:divBdr>
    </w:div>
    <w:div w:id="1065837815">
      <w:bodyDiv w:val="1"/>
      <w:marLeft w:val="0"/>
      <w:marRight w:val="0"/>
      <w:marTop w:val="0"/>
      <w:marBottom w:val="0"/>
      <w:divBdr>
        <w:top w:val="none" w:sz="0" w:space="0" w:color="auto"/>
        <w:left w:val="none" w:sz="0" w:space="0" w:color="auto"/>
        <w:bottom w:val="none" w:sz="0" w:space="0" w:color="auto"/>
        <w:right w:val="none" w:sz="0" w:space="0" w:color="auto"/>
      </w:divBdr>
    </w:div>
    <w:div w:id="1102457672">
      <w:bodyDiv w:val="1"/>
      <w:marLeft w:val="0"/>
      <w:marRight w:val="0"/>
      <w:marTop w:val="0"/>
      <w:marBottom w:val="0"/>
      <w:divBdr>
        <w:top w:val="none" w:sz="0" w:space="0" w:color="auto"/>
        <w:left w:val="none" w:sz="0" w:space="0" w:color="auto"/>
        <w:bottom w:val="none" w:sz="0" w:space="0" w:color="auto"/>
        <w:right w:val="none" w:sz="0" w:space="0" w:color="auto"/>
      </w:divBdr>
    </w:div>
    <w:div w:id="1105270643">
      <w:bodyDiv w:val="1"/>
      <w:marLeft w:val="0"/>
      <w:marRight w:val="0"/>
      <w:marTop w:val="0"/>
      <w:marBottom w:val="0"/>
      <w:divBdr>
        <w:top w:val="none" w:sz="0" w:space="0" w:color="auto"/>
        <w:left w:val="none" w:sz="0" w:space="0" w:color="auto"/>
        <w:bottom w:val="none" w:sz="0" w:space="0" w:color="auto"/>
        <w:right w:val="none" w:sz="0" w:space="0" w:color="auto"/>
      </w:divBdr>
    </w:div>
    <w:div w:id="1106534370">
      <w:bodyDiv w:val="1"/>
      <w:marLeft w:val="0"/>
      <w:marRight w:val="0"/>
      <w:marTop w:val="0"/>
      <w:marBottom w:val="0"/>
      <w:divBdr>
        <w:top w:val="none" w:sz="0" w:space="0" w:color="auto"/>
        <w:left w:val="none" w:sz="0" w:space="0" w:color="auto"/>
        <w:bottom w:val="none" w:sz="0" w:space="0" w:color="auto"/>
        <w:right w:val="none" w:sz="0" w:space="0" w:color="auto"/>
      </w:divBdr>
    </w:div>
    <w:div w:id="1159691526">
      <w:bodyDiv w:val="1"/>
      <w:marLeft w:val="0"/>
      <w:marRight w:val="0"/>
      <w:marTop w:val="0"/>
      <w:marBottom w:val="0"/>
      <w:divBdr>
        <w:top w:val="none" w:sz="0" w:space="0" w:color="auto"/>
        <w:left w:val="none" w:sz="0" w:space="0" w:color="auto"/>
        <w:bottom w:val="none" w:sz="0" w:space="0" w:color="auto"/>
        <w:right w:val="none" w:sz="0" w:space="0" w:color="auto"/>
      </w:divBdr>
    </w:div>
    <w:div w:id="1173296935">
      <w:bodyDiv w:val="1"/>
      <w:marLeft w:val="0"/>
      <w:marRight w:val="0"/>
      <w:marTop w:val="0"/>
      <w:marBottom w:val="0"/>
      <w:divBdr>
        <w:top w:val="none" w:sz="0" w:space="0" w:color="auto"/>
        <w:left w:val="none" w:sz="0" w:space="0" w:color="auto"/>
        <w:bottom w:val="none" w:sz="0" w:space="0" w:color="auto"/>
        <w:right w:val="none" w:sz="0" w:space="0" w:color="auto"/>
      </w:divBdr>
    </w:div>
    <w:div w:id="1180581634">
      <w:bodyDiv w:val="1"/>
      <w:marLeft w:val="0"/>
      <w:marRight w:val="0"/>
      <w:marTop w:val="0"/>
      <w:marBottom w:val="0"/>
      <w:divBdr>
        <w:top w:val="none" w:sz="0" w:space="0" w:color="auto"/>
        <w:left w:val="none" w:sz="0" w:space="0" w:color="auto"/>
        <w:bottom w:val="none" w:sz="0" w:space="0" w:color="auto"/>
        <w:right w:val="none" w:sz="0" w:space="0" w:color="auto"/>
      </w:divBdr>
    </w:div>
    <w:div w:id="1184788358">
      <w:bodyDiv w:val="1"/>
      <w:marLeft w:val="0"/>
      <w:marRight w:val="0"/>
      <w:marTop w:val="0"/>
      <w:marBottom w:val="0"/>
      <w:divBdr>
        <w:top w:val="none" w:sz="0" w:space="0" w:color="auto"/>
        <w:left w:val="none" w:sz="0" w:space="0" w:color="auto"/>
        <w:bottom w:val="none" w:sz="0" w:space="0" w:color="auto"/>
        <w:right w:val="none" w:sz="0" w:space="0" w:color="auto"/>
      </w:divBdr>
    </w:div>
    <w:div w:id="1225683506">
      <w:bodyDiv w:val="1"/>
      <w:marLeft w:val="0"/>
      <w:marRight w:val="0"/>
      <w:marTop w:val="0"/>
      <w:marBottom w:val="0"/>
      <w:divBdr>
        <w:top w:val="none" w:sz="0" w:space="0" w:color="auto"/>
        <w:left w:val="none" w:sz="0" w:space="0" w:color="auto"/>
        <w:bottom w:val="none" w:sz="0" w:space="0" w:color="auto"/>
        <w:right w:val="none" w:sz="0" w:space="0" w:color="auto"/>
      </w:divBdr>
    </w:div>
    <w:div w:id="1276865208">
      <w:bodyDiv w:val="1"/>
      <w:marLeft w:val="0"/>
      <w:marRight w:val="0"/>
      <w:marTop w:val="0"/>
      <w:marBottom w:val="0"/>
      <w:divBdr>
        <w:top w:val="none" w:sz="0" w:space="0" w:color="auto"/>
        <w:left w:val="none" w:sz="0" w:space="0" w:color="auto"/>
        <w:bottom w:val="none" w:sz="0" w:space="0" w:color="auto"/>
        <w:right w:val="none" w:sz="0" w:space="0" w:color="auto"/>
      </w:divBdr>
    </w:div>
    <w:div w:id="1286498252">
      <w:bodyDiv w:val="1"/>
      <w:marLeft w:val="0"/>
      <w:marRight w:val="0"/>
      <w:marTop w:val="0"/>
      <w:marBottom w:val="0"/>
      <w:divBdr>
        <w:top w:val="none" w:sz="0" w:space="0" w:color="auto"/>
        <w:left w:val="none" w:sz="0" w:space="0" w:color="auto"/>
        <w:bottom w:val="none" w:sz="0" w:space="0" w:color="auto"/>
        <w:right w:val="none" w:sz="0" w:space="0" w:color="auto"/>
      </w:divBdr>
    </w:div>
    <w:div w:id="1299650753">
      <w:bodyDiv w:val="1"/>
      <w:marLeft w:val="0"/>
      <w:marRight w:val="0"/>
      <w:marTop w:val="0"/>
      <w:marBottom w:val="0"/>
      <w:divBdr>
        <w:top w:val="none" w:sz="0" w:space="0" w:color="auto"/>
        <w:left w:val="none" w:sz="0" w:space="0" w:color="auto"/>
        <w:bottom w:val="none" w:sz="0" w:space="0" w:color="auto"/>
        <w:right w:val="none" w:sz="0" w:space="0" w:color="auto"/>
      </w:divBdr>
    </w:div>
    <w:div w:id="1364019922">
      <w:bodyDiv w:val="1"/>
      <w:marLeft w:val="0"/>
      <w:marRight w:val="0"/>
      <w:marTop w:val="0"/>
      <w:marBottom w:val="0"/>
      <w:divBdr>
        <w:top w:val="none" w:sz="0" w:space="0" w:color="auto"/>
        <w:left w:val="none" w:sz="0" w:space="0" w:color="auto"/>
        <w:bottom w:val="none" w:sz="0" w:space="0" w:color="auto"/>
        <w:right w:val="none" w:sz="0" w:space="0" w:color="auto"/>
      </w:divBdr>
    </w:div>
    <w:div w:id="1433669864">
      <w:bodyDiv w:val="1"/>
      <w:marLeft w:val="0"/>
      <w:marRight w:val="0"/>
      <w:marTop w:val="0"/>
      <w:marBottom w:val="0"/>
      <w:divBdr>
        <w:top w:val="none" w:sz="0" w:space="0" w:color="auto"/>
        <w:left w:val="none" w:sz="0" w:space="0" w:color="auto"/>
        <w:bottom w:val="none" w:sz="0" w:space="0" w:color="auto"/>
        <w:right w:val="none" w:sz="0" w:space="0" w:color="auto"/>
      </w:divBdr>
    </w:div>
    <w:div w:id="1488589967">
      <w:bodyDiv w:val="1"/>
      <w:marLeft w:val="0"/>
      <w:marRight w:val="0"/>
      <w:marTop w:val="0"/>
      <w:marBottom w:val="0"/>
      <w:divBdr>
        <w:top w:val="none" w:sz="0" w:space="0" w:color="auto"/>
        <w:left w:val="none" w:sz="0" w:space="0" w:color="auto"/>
        <w:bottom w:val="none" w:sz="0" w:space="0" w:color="auto"/>
        <w:right w:val="none" w:sz="0" w:space="0" w:color="auto"/>
      </w:divBdr>
    </w:div>
    <w:div w:id="1542093751">
      <w:bodyDiv w:val="1"/>
      <w:marLeft w:val="0"/>
      <w:marRight w:val="0"/>
      <w:marTop w:val="0"/>
      <w:marBottom w:val="0"/>
      <w:divBdr>
        <w:top w:val="none" w:sz="0" w:space="0" w:color="auto"/>
        <w:left w:val="none" w:sz="0" w:space="0" w:color="auto"/>
        <w:bottom w:val="none" w:sz="0" w:space="0" w:color="auto"/>
        <w:right w:val="none" w:sz="0" w:space="0" w:color="auto"/>
      </w:divBdr>
    </w:div>
    <w:div w:id="1567448908">
      <w:bodyDiv w:val="1"/>
      <w:marLeft w:val="0"/>
      <w:marRight w:val="0"/>
      <w:marTop w:val="0"/>
      <w:marBottom w:val="0"/>
      <w:divBdr>
        <w:top w:val="none" w:sz="0" w:space="0" w:color="auto"/>
        <w:left w:val="none" w:sz="0" w:space="0" w:color="auto"/>
        <w:bottom w:val="none" w:sz="0" w:space="0" w:color="auto"/>
        <w:right w:val="none" w:sz="0" w:space="0" w:color="auto"/>
      </w:divBdr>
    </w:div>
    <w:div w:id="1599095215">
      <w:bodyDiv w:val="1"/>
      <w:marLeft w:val="0"/>
      <w:marRight w:val="0"/>
      <w:marTop w:val="0"/>
      <w:marBottom w:val="0"/>
      <w:divBdr>
        <w:top w:val="none" w:sz="0" w:space="0" w:color="auto"/>
        <w:left w:val="none" w:sz="0" w:space="0" w:color="auto"/>
        <w:bottom w:val="none" w:sz="0" w:space="0" w:color="auto"/>
        <w:right w:val="none" w:sz="0" w:space="0" w:color="auto"/>
      </w:divBdr>
    </w:div>
    <w:div w:id="1606838976">
      <w:bodyDiv w:val="1"/>
      <w:marLeft w:val="0"/>
      <w:marRight w:val="0"/>
      <w:marTop w:val="0"/>
      <w:marBottom w:val="0"/>
      <w:divBdr>
        <w:top w:val="none" w:sz="0" w:space="0" w:color="auto"/>
        <w:left w:val="none" w:sz="0" w:space="0" w:color="auto"/>
        <w:bottom w:val="none" w:sz="0" w:space="0" w:color="auto"/>
        <w:right w:val="none" w:sz="0" w:space="0" w:color="auto"/>
      </w:divBdr>
    </w:div>
    <w:div w:id="1662805794">
      <w:bodyDiv w:val="1"/>
      <w:marLeft w:val="0"/>
      <w:marRight w:val="0"/>
      <w:marTop w:val="0"/>
      <w:marBottom w:val="0"/>
      <w:divBdr>
        <w:top w:val="none" w:sz="0" w:space="0" w:color="auto"/>
        <w:left w:val="none" w:sz="0" w:space="0" w:color="auto"/>
        <w:bottom w:val="none" w:sz="0" w:space="0" w:color="auto"/>
        <w:right w:val="none" w:sz="0" w:space="0" w:color="auto"/>
      </w:divBdr>
    </w:div>
    <w:div w:id="1692535732">
      <w:bodyDiv w:val="1"/>
      <w:marLeft w:val="0"/>
      <w:marRight w:val="0"/>
      <w:marTop w:val="0"/>
      <w:marBottom w:val="0"/>
      <w:divBdr>
        <w:top w:val="none" w:sz="0" w:space="0" w:color="auto"/>
        <w:left w:val="none" w:sz="0" w:space="0" w:color="auto"/>
        <w:bottom w:val="none" w:sz="0" w:space="0" w:color="auto"/>
        <w:right w:val="none" w:sz="0" w:space="0" w:color="auto"/>
      </w:divBdr>
    </w:div>
    <w:div w:id="1751926104">
      <w:bodyDiv w:val="1"/>
      <w:marLeft w:val="0"/>
      <w:marRight w:val="0"/>
      <w:marTop w:val="0"/>
      <w:marBottom w:val="0"/>
      <w:divBdr>
        <w:top w:val="none" w:sz="0" w:space="0" w:color="auto"/>
        <w:left w:val="none" w:sz="0" w:space="0" w:color="auto"/>
        <w:bottom w:val="none" w:sz="0" w:space="0" w:color="auto"/>
        <w:right w:val="none" w:sz="0" w:space="0" w:color="auto"/>
      </w:divBdr>
    </w:div>
    <w:div w:id="1770663635">
      <w:bodyDiv w:val="1"/>
      <w:marLeft w:val="0"/>
      <w:marRight w:val="0"/>
      <w:marTop w:val="0"/>
      <w:marBottom w:val="0"/>
      <w:divBdr>
        <w:top w:val="none" w:sz="0" w:space="0" w:color="auto"/>
        <w:left w:val="none" w:sz="0" w:space="0" w:color="auto"/>
        <w:bottom w:val="none" w:sz="0" w:space="0" w:color="auto"/>
        <w:right w:val="none" w:sz="0" w:space="0" w:color="auto"/>
      </w:divBdr>
    </w:div>
    <w:div w:id="1913616107">
      <w:bodyDiv w:val="1"/>
      <w:marLeft w:val="0"/>
      <w:marRight w:val="0"/>
      <w:marTop w:val="0"/>
      <w:marBottom w:val="0"/>
      <w:divBdr>
        <w:top w:val="none" w:sz="0" w:space="0" w:color="auto"/>
        <w:left w:val="none" w:sz="0" w:space="0" w:color="auto"/>
        <w:bottom w:val="none" w:sz="0" w:space="0" w:color="auto"/>
        <w:right w:val="none" w:sz="0" w:space="0" w:color="auto"/>
      </w:divBdr>
    </w:div>
    <w:div w:id="1927835152">
      <w:bodyDiv w:val="1"/>
      <w:marLeft w:val="0"/>
      <w:marRight w:val="0"/>
      <w:marTop w:val="0"/>
      <w:marBottom w:val="0"/>
      <w:divBdr>
        <w:top w:val="none" w:sz="0" w:space="0" w:color="auto"/>
        <w:left w:val="none" w:sz="0" w:space="0" w:color="auto"/>
        <w:bottom w:val="none" w:sz="0" w:space="0" w:color="auto"/>
        <w:right w:val="none" w:sz="0" w:space="0" w:color="auto"/>
      </w:divBdr>
    </w:div>
    <w:div w:id="1933705253">
      <w:bodyDiv w:val="1"/>
      <w:marLeft w:val="0"/>
      <w:marRight w:val="0"/>
      <w:marTop w:val="0"/>
      <w:marBottom w:val="0"/>
      <w:divBdr>
        <w:top w:val="none" w:sz="0" w:space="0" w:color="auto"/>
        <w:left w:val="none" w:sz="0" w:space="0" w:color="auto"/>
        <w:bottom w:val="none" w:sz="0" w:space="0" w:color="auto"/>
        <w:right w:val="none" w:sz="0" w:space="0" w:color="auto"/>
      </w:divBdr>
    </w:div>
    <w:div w:id="2032877124">
      <w:bodyDiv w:val="1"/>
      <w:marLeft w:val="0"/>
      <w:marRight w:val="0"/>
      <w:marTop w:val="0"/>
      <w:marBottom w:val="0"/>
      <w:divBdr>
        <w:top w:val="none" w:sz="0" w:space="0" w:color="auto"/>
        <w:left w:val="none" w:sz="0" w:space="0" w:color="auto"/>
        <w:bottom w:val="none" w:sz="0" w:space="0" w:color="auto"/>
        <w:right w:val="none" w:sz="0" w:space="0" w:color="auto"/>
      </w:divBdr>
    </w:div>
    <w:div w:id="2071465021">
      <w:bodyDiv w:val="1"/>
      <w:marLeft w:val="0"/>
      <w:marRight w:val="0"/>
      <w:marTop w:val="0"/>
      <w:marBottom w:val="0"/>
      <w:divBdr>
        <w:top w:val="none" w:sz="0" w:space="0" w:color="auto"/>
        <w:left w:val="none" w:sz="0" w:space="0" w:color="auto"/>
        <w:bottom w:val="none" w:sz="0" w:space="0" w:color="auto"/>
        <w:right w:val="none" w:sz="0" w:space="0" w:color="auto"/>
      </w:divBdr>
    </w:div>
    <w:div w:id="2080858841">
      <w:bodyDiv w:val="1"/>
      <w:marLeft w:val="0"/>
      <w:marRight w:val="0"/>
      <w:marTop w:val="0"/>
      <w:marBottom w:val="0"/>
      <w:divBdr>
        <w:top w:val="none" w:sz="0" w:space="0" w:color="auto"/>
        <w:left w:val="none" w:sz="0" w:space="0" w:color="auto"/>
        <w:bottom w:val="none" w:sz="0" w:space="0" w:color="auto"/>
        <w:right w:val="none" w:sz="0" w:space="0" w:color="auto"/>
      </w:divBdr>
    </w:div>
    <w:div w:id="210672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fingocz"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facebook.com/fingo.cz"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fingocz3140" TargetMode="External"/><Relationship Id="rId5" Type="http://schemas.openxmlformats.org/officeDocument/2006/relationships/numbering" Target="numbering.xml"/><Relationship Id="rId15" Type="http://schemas.openxmlformats.org/officeDocument/2006/relationships/hyperlink" Target="https://www.linkedin.com/company/fingo-cz/"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Jakub.knapp@crestcom.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OneDrive%20-%20Crest%20Communications,%20a.s\Plocha%20(old)\FinGO_Sablon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8775cd-cb9a-4824-a228-d043804fb9c1" xsi:nil="true"/>
    <lcf76f155ced4ddcb4097134ff3c332f xmlns="65777e4e-9c65-48da-b9e4-8e2a74f419cb">
      <Terms xmlns="http://schemas.microsoft.com/office/infopath/2007/PartnerControls"/>
    </lcf76f155ced4ddcb4097134ff3c332f>
    <Obr_x00e1_zek xmlns="65777e4e-9c65-48da-b9e4-8e2a74f419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E21AEF63623FE4F9A58CC6BACDC5B81" ma:contentTypeVersion="18" ma:contentTypeDescription="Vytvoří nový dokument" ma:contentTypeScope="" ma:versionID="161e9df844dcf50cd73af27870c190c6">
  <xsd:schema xmlns:xsd="http://www.w3.org/2001/XMLSchema" xmlns:xs="http://www.w3.org/2001/XMLSchema" xmlns:p="http://schemas.microsoft.com/office/2006/metadata/properties" xmlns:ns2="65777e4e-9c65-48da-b9e4-8e2a74f419cb" xmlns:ns3="8b8775cd-cb9a-4824-a228-d043804fb9c1" targetNamespace="http://schemas.microsoft.com/office/2006/metadata/properties" ma:root="true" ma:fieldsID="c3628c2fb9054021a6ad666509f1871f" ns2:_="" ns3:_="">
    <xsd:import namespace="65777e4e-9c65-48da-b9e4-8e2a74f419cb"/>
    <xsd:import namespace="8b8775cd-cb9a-4824-a228-d043804fb9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Obr_x00e1_ze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77e4e-9c65-48da-b9e4-8e2a74f41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Obr_x00e1_zek" ma:index="25" nillable="true" ma:displayName="Obrázek" ma:format="Thumbnail" ma:internalName="Obr_x00e1_zek">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8775cd-cb9a-4824-a228-d043804fb9c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9855081-c3a2-4f84-b7a2-171fb50a7e4f}" ma:internalName="TaxCatchAll" ma:showField="CatchAllData" ma:web="8b8775cd-cb9a-4824-a228-d043804fb9c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682881-D906-41BE-9E8E-E6CECCD9DC59}">
  <ds:schemaRefs>
    <ds:schemaRef ds:uri="http://schemas.microsoft.com/office/2006/metadata/properties"/>
    <ds:schemaRef ds:uri="http://schemas.microsoft.com/office/infopath/2007/PartnerControls"/>
    <ds:schemaRef ds:uri="8b8775cd-cb9a-4824-a228-d043804fb9c1"/>
    <ds:schemaRef ds:uri="65777e4e-9c65-48da-b9e4-8e2a74f419cb"/>
  </ds:schemaRefs>
</ds:datastoreItem>
</file>

<file path=customXml/itemProps2.xml><?xml version="1.0" encoding="utf-8"?>
<ds:datastoreItem xmlns:ds="http://schemas.openxmlformats.org/officeDocument/2006/customXml" ds:itemID="{8CB66608-9DD7-4175-9887-E9E474D4D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77e4e-9c65-48da-b9e4-8e2a74f419cb"/>
    <ds:schemaRef ds:uri="8b8775cd-cb9a-4824-a228-d043804fb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987C92-30E1-4D02-AC4F-FE070F618B3B}">
  <ds:schemaRefs>
    <ds:schemaRef ds:uri="http://schemas.openxmlformats.org/officeDocument/2006/bibliography"/>
  </ds:schemaRefs>
</ds:datastoreItem>
</file>

<file path=customXml/itemProps4.xml><?xml version="1.0" encoding="utf-8"?>
<ds:datastoreItem xmlns:ds="http://schemas.openxmlformats.org/officeDocument/2006/customXml" ds:itemID="{9E6E8602-1146-4A4E-9988-0A68C2B718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FinGO_Sablona.dotx</Template>
  <TotalTime>28</TotalTime>
  <Pages>2</Pages>
  <Words>786</Words>
  <Characters>4642</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Knapp</dc:creator>
  <cp:keywords/>
  <dc:description/>
  <cp:lastModifiedBy>Jakub Knapp</cp:lastModifiedBy>
  <cp:revision>25</cp:revision>
  <dcterms:created xsi:type="dcterms:W3CDTF">2025-10-17T08:26:00Z</dcterms:created>
  <dcterms:modified xsi:type="dcterms:W3CDTF">2025-10-23T07:11:00Z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0x010100EE21AEF63623FE4F9A58CC6BACDC5B81</vt:lpwstr>
  </property>
  <property fmtid="{D5CDD505-2E9C-101B-9397-08002B2CF9AE}" pid="3" name="MediaServiceImageTags">
    <vt:lpwstr/>
  </property>
</Properties>
</file>