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E99A" w14:textId="2F5ED053" w:rsidR="00EE4C58" w:rsidRPr="00EE4C58" w:rsidRDefault="00F74832" w:rsidP="00C51698">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w:t>
      </w:r>
      <w:r w:rsidR="007E21E9">
        <w:rPr>
          <w:rFonts w:ascii="Invesco Interstate Bold" w:hAnsi="Invesco Interstate Bold"/>
          <w:b/>
          <w:bCs/>
          <w:sz w:val="28"/>
          <w:szCs w:val="28"/>
        </w:rPr>
        <w:t xml:space="preserve"> </w:t>
      </w:r>
      <w:r w:rsidR="0040688D">
        <w:rPr>
          <w:rFonts w:ascii="Invesco Interstate Bold" w:hAnsi="Invesco Interstate Bold"/>
          <w:b/>
          <w:bCs/>
          <w:sz w:val="28"/>
          <w:szCs w:val="28"/>
        </w:rPr>
        <w:t>Perspektiva trhů v souvislosti s eskalací napětí na Blízkém východě</w:t>
      </w:r>
      <w:r w:rsidR="00FB70E2">
        <w:rPr>
          <w:rFonts w:ascii="Invesco Interstate Bold" w:hAnsi="Invesco Interstate Bold"/>
          <w:b/>
          <w:bCs/>
          <w:sz w:val="28"/>
          <w:szCs w:val="28"/>
        </w:rPr>
        <w:t xml:space="preserve"> </w:t>
      </w:r>
    </w:p>
    <w:p w14:paraId="11EF7FC3" w14:textId="5AADD990" w:rsidR="000D54B1" w:rsidRPr="000D54B1" w:rsidRDefault="0040688D" w:rsidP="000D54B1">
      <w:pPr>
        <w:spacing w:line="360" w:lineRule="auto"/>
        <w:jc w:val="both"/>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 xml:space="preserve">Trhy zakončily minulý týden pod tlakem. Ten nastal po výrazné eskalaci situace na Blízkém východě, když Izrael zahájil letecké útoky proti Íránu, jejichž cílem byla jaderná a vojenská infrastruktura. Údery zvýšily geopolitickou nejistotu a vedly k prudkému nárůstu cen ropy a zlata, protože investoři hledali „bezpečná“ aktiva pro svá portfolia. Akciové trhy se tak ocitly pod tlakem, což odráželo obavy z možného šíření konfliktu v regionu a jeho důsledků pro globální růst a inflaci. </w:t>
      </w:r>
    </w:p>
    <w:p w14:paraId="1C6B557E" w14:textId="77777777" w:rsidR="001F7607" w:rsidRPr="00EE4C58" w:rsidRDefault="001F7607" w:rsidP="00BE4A7F">
      <w:pPr>
        <w:spacing w:line="240" w:lineRule="auto"/>
        <w:jc w:val="both"/>
        <w:rPr>
          <w:rFonts w:ascii="Invesco Interstate Light" w:eastAsia="MS Mincho" w:hAnsi="Invesco Interstate Light"/>
          <w:b/>
          <w:bCs/>
          <w:sz w:val="22"/>
          <w:szCs w:val="22"/>
          <w:lang w:eastAsia="ja-JP"/>
        </w:rPr>
      </w:pPr>
    </w:p>
    <w:p w14:paraId="78324296" w14:textId="77777777" w:rsidR="0040688D" w:rsidRPr="0040688D" w:rsidRDefault="0040688D" w:rsidP="0040688D">
      <w:pPr>
        <w:spacing w:line="360" w:lineRule="auto"/>
        <w:jc w:val="both"/>
        <w:rPr>
          <w:rFonts w:ascii="Invesco Interstate Light" w:eastAsia="MS Mincho" w:hAnsi="Invesco Interstate Light"/>
          <w:sz w:val="22"/>
          <w:szCs w:val="22"/>
          <w:lang w:eastAsia="ja-JP"/>
        </w:rPr>
      </w:pPr>
      <w:r w:rsidRPr="0040688D">
        <w:rPr>
          <w:rFonts w:ascii="Invesco Interstate Light" w:eastAsia="MS Mincho" w:hAnsi="Invesco Interstate Light"/>
          <w:sz w:val="22"/>
          <w:szCs w:val="22"/>
          <w:lang w:eastAsia="ja-JP"/>
        </w:rPr>
        <w:t>Nejvýmluvnější však byla nedostatečná reakce amerického dolaru (USD), který jen mírně posílil. Za normálních okolností by se očekávala silná reakce USD na podobné události. Nedostatek pohybu zdůrazňuje značně snížený status „bezpečného přístavu“, který USD nyní má.</w:t>
      </w:r>
    </w:p>
    <w:p w14:paraId="531907A2" w14:textId="77777777" w:rsidR="00B41018" w:rsidRDefault="00B41018" w:rsidP="00B41018"/>
    <w:p w14:paraId="3DAEEF39" w14:textId="58C69ED8" w:rsidR="001F7607" w:rsidRPr="00FA03F4" w:rsidRDefault="0040688D" w:rsidP="00FA03F4">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Trhy již dříve vykazovaly odolnost během regionálních konfliktů</w:t>
      </w:r>
    </w:p>
    <w:p w14:paraId="7ADC851B" w14:textId="77777777" w:rsidR="00FA03F4" w:rsidRPr="00FA03F4" w:rsidRDefault="00FA03F4" w:rsidP="00FA03F4">
      <w:pPr>
        <w:spacing w:line="240" w:lineRule="auto"/>
        <w:jc w:val="both"/>
        <w:rPr>
          <w:rFonts w:ascii="Invesco Interstate Light" w:eastAsia="MS Mincho" w:hAnsi="Invesco Interstate Light" w:cs="Cambria"/>
          <w:b/>
          <w:bCs/>
          <w:lang w:eastAsia="ja-JP"/>
        </w:rPr>
      </w:pPr>
    </w:p>
    <w:p w14:paraId="68D89518" w14:textId="77777777" w:rsidR="0040688D" w:rsidRDefault="0040688D" w:rsidP="0040688D">
      <w:pPr>
        <w:spacing w:line="360" w:lineRule="auto"/>
        <w:jc w:val="both"/>
        <w:rPr>
          <w:rFonts w:ascii="Invesco Interstate Light" w:eastAsia="MS Mincho" w:hAnsi="Invesco Interstate Light"/>
          <w:sz w:val="22"/>
          <w:szCs w:val="22"/>
          <w:lang w:eastAsia="ja-JP"/>
        </w:rPr>
      </w:pPr>
      <w:r w:rsidRPr="0040688D">
        <w:rPr>
          <w:rFonts w:ascii="Invesco Interstate Light" w:eastAsia="MS Mincho" w:hAnsi="Invesco Interstate Light"/>
          <w:sz w:val="22"/>
          <w:szCs w:val="22"/>
          <w:lang w:eastAsia="ja-JP"/>
        </w:rPr>
        <w:t>Ačkoli je tento vývoj závažný a vyžaduje pečlivé sledování, je důležité zachovat si nadhled. V minulosti trhy prokázaly odolnost vůči regionálním konfliktům. Například i navzdory počátečnímu šoku z ruské invaze na Ukrajinu na začátku roku 2022 se akcie vzpamatovaly a v následujících letech pokračovaly v růstu. Podobně od začátku izraelsko-</w:t>
      </w:r>
      <w:proofErr w:type="spellStart"/>
      <w:r w:rsidRPr="0040688D">
        <w:rPr>
          <w:rFonts w:ascii="Invesco Interstate Light" w:eastAsia="MS Mincho" w:hAnsi="Invesco Interstate Light"/>
          <w:sz w:val="22"/>
          <w:szCs w:val="22"/>
          <w:lang w:eastAsia="ja-JP"/>
        </w:rPr>
        <w:t>hamasovského</w:t>
      </w:r>
      <w:proofErr w:type="spellEnd"/>
      <w:r w:rsidRPr="0040688D">
        <w:rPr>
          <w:rFonts w:ascii="Invesco Interstate Light" w:eastAsia="MS Mincho" w:hAnsi="Invesco Interstate Light"/>
          <w:sz w:val="22"/>
          <w:szCs w:val="22"/>
          <w:lang w:eastAsia="ja-JP"/>
        </w:rPr>
        <w:t xml:space="preserve"> konfliktu, 7. října 2023, trhy do značné míry přečkaly volatilitu, podpořené silnými zisky podniků a ekonomickou dynamikou.</w:t>
      </w:r>
    </w:p>
    <w:p w14:paraId="42A5CC5F" w14:textId="77777777" w:rsidR="0040688D" w:rsidRPr="0040688D" w:rsidRDefault="0040688D" w:rsidP="0040688D">
      <w:pPr>
        <w:spacing w:line="240" w:lineRule="auto"/>
        <w:jc w:val="both"/>
        <w:rPr>
          <w:rFonts w:ascii="Invesco Interstate Light" w:eastAsia="MS Mincho" w:hAnsi="Invesco Interstate Light" w:cs="Cambria"/>
          <w:b/>
          <w:bCs/>
          <w:lang w:eastAsia="ja-JP"/>
        </w:rPr>
      </w:pPr>
    </w:p>
    <w:p w14:paraId="1E4DFC8F" w14:textId="77777777" w:rsidR="0040688D" w:rsidRPr="0040688D" w:rsidRDefault="0040688D" w:rsidP="0040688D">
      <w:pPr>
        <w:spacing w:line="360" w:lineRule="auto"/>
        <w:jc w:val="both"/>
        <w:rPr>
          <w:rFonts w:ascii="Invesco Interstate Light" w:eastAsia="MS Mincho" w:hAnsi="Invesco Interstate Light"/>
          <w:sz w:val="22"/>
          <w:szCs w:val="22"/>
          <w:lang w:eastAsia="ja-JP"/>
        </w:rPr>
      </w:pPr>
      <w:r w:rsidRPr="0040688D">
        <w:rPr>
          <w:rFonts w:ascii="Invesco Interstate Light" w:eastAsia="MS Mincho" w:hAnsi="Invesco Interstate Light"/>
          <w:sz w:val="22"/>
          <w:szCs w:val="22"/>
          <w:lang w:eastAsia="ja-JP"/>
        </w:rPr>
        <w:t xml:space="preserve">Pokud nedojde k významnému a dlouhodobému zásahu do globálních dodávek ropy – což by mohlo přijít při omezení v </w:t>
      </w:r>
      <w:proofErr w:type="spellStart"/>
      <w:r w:rsidRPr="0040688D">
        <w:rPr>
          <w:rFonts w:ascii="Invesco Interstate Light" w:eastAsia="MS Mincho" w:hAnsi="Invesco Interstate Light"/>
          <w:sz w:val="22"/>
          <w:szCs w:val="22"/>
          <w:lang w:eastAsia="ja-JP"/>
        </w:rPr>
        <w:t>Hormuzském</w:t>
      </w:r>
      <w:proofErr w:type="spellEnd"/>
      <w:r w:rsidRPr="0040688D">
        <w:rPr>
          <w:rFonts w:ascii="Invesco Interstate Light" w:eastAsia="MS Mincho" w:hAnsi="Invesco Interstate Light"/>
          <w:sz w:val="22"/>
          <w:szCs w:val="22"/>
          <w:lang w:eastAsia="ja-JP"/>
        </w:rPr>
        <w:t xml:space="preserve"> průlivu, domníváme se, že ceny ropy pravděpodobně vrátí část svých současných zisků.</w:t>
      </w:r>
    </w:p>
    <w:p w14:paraId="1F0F0560" w14:textId="77777777" w:rsidR="0040688D" w:rsidRPr="0040688D" w:rsidRDefault="0040688D" w:rsidP="0040688D">
      <w:pPr>
        <w:spacing w:line="240" w:lineRule="auto"/>
        <w:jc w:val="both"/>
        <w:rPr>
          <w:rFonts w:ascii="Invesco Interstate Light" w:eastAsia="MS Mincho" w:hAnsi="Invesco Interstate Light"/>
          <w:sz w:val="22"/>
          <w:szCs w:val="22"/>
          <w:lang w:eastAsia="ja-JP"/>
        </w:rPr>
      </w:pPr>
    </w:p>
    <w:p w14:paraId="6863A9F0" w14:textId="77777777" w:rsidR="0040688D" w:rsidRPr="0040688D" w:rsidRDefault="0040688D" w:rsidP="0040688D">
      <w:pPr>
        <w:spacing w:line="360" w:lineRule="auto"/>
        <w:jc w:val="both"/>
        <w:rPr>
          <w:rFonts w:ascii="Invesco Interstate Light" w:eastAsia="MS Mincho" w:hAnsi="Invesco Interstate Light"/>
          <w:sz w:val="22"/>
          <w:szCs w:val="22"/>
          <w:lang w:eastAsia="ja-JP"/>
        </w:rPr>
      </w:pPr>
      <w:r w:rsidRPr="0040688D">
        <w:rPr>
          <w:rFonts w:ascii="Invesco Interstate Light" w:eastAsia="MS Mincho" w:hAnsi="Invesco Interstate Light"/>
          <w:sz w:val="22"/>
          <w:szCs w:val="22"/>
          <w:lang w:eastAsia="ja-JP"/>
        </w:rPr>
        <w:t xml:space="preserve">Při hodnocení současné situace se i nadále zaměřujeme na fundamentální faktory. Přestože povzbudivá ekonomická data, možnost snížení sazeb a potenciál obchodních dohod jsou důvody k optimismu, při orientaci na dnešním trhu se nadále zaměřujeme na kvalitu.  </w:t>
      </w:r>
    </w:p>
    <w:p w14:paraId="0D81541B" w14:textId="77777777" w:rsidR="0040688D" w:rsidRDefault="0040688D" w:rsidP="0040688D">
      <w:pPr>
        <w:spacing w:line="360" w:lineRule="auto"/>
        <w:jc w:val="both"/>
        <w:rPr>
          <w:rFonts w:ascii="Invesco Interstate Light" w:eastAsia="MS Mincho" w:hAnsi="Invesco Interstate Light"/>
          <w:sz w:val="22"/>
          <w:szCs w:val="22"/>
          <w:lang w:eastAsia="ja-JP"/>
        </w:rPr>
      </w:pPr>
    </w:p>
    <w:p w14:paraId="1C915947" w14:textId="244408C6" w:rsidR="0040688D" w:rsidRPr="0040688D" w:rsidRDefault="0040688D" w:rsidP="0040688D">
      <w:pPr>
        <w:spacing w:line="360" w:lineRule="auto"/>
        <w:jc w:val="both"/>
        <w:rPr>
          <w:rFonts w:ascii="Invesco Interstate Light" w:eastAsia="MS Mincho" w:hAnsi="Invesco Interstate Light" w:cs="Cambria"/>
          <w:b/>
          <w:bCs/>
          <w:sz w:val="22"/>
          <w:szCs w:val="22"/>
          <w:lang w:eastAsia="ja-JP"/>
        </w:rPr>
      </w:pPr>
      <w:r w:rsidRPr="0040688D">
        <w:rPr>
          <w:rFonts w:ascii="Invesco Interstate Light" w:eastAsia="MS Mincho" w:hAnsi="Invesco Interstate Light" w:cs="Cambria"/>
          <w:b/>
          <w:bCs/>
          <w:sz w:val="22"/>
          <w:szCs w:val="22"/>
          <w:lang w:eastAsia="ja-JP"/>
        </w:rPr>
        <w:t>Tento týden v </w:t>
      </w:r>
      <w:proofErr w:type="spellStart"/>
      <w:r w:rsidRPr="0040688D">
        <w:rPr>
          <w:rFonts w:ascii="Invesco Interstate Light" w:eastAsia="MS Mincho" w:hAnsi="Invesco Interstate Light" w:cs="Cambria"/>
          <w:b/>
          <w:bCs/>
          <w:sz w:val="22"/>
          <w:szCs w:val="22"/>
          <w:lang w:eastAsia="ja-JP"/>
        </w:rPr>
        <w:t>Invescu</w:t>
      </w:r>
      <w:proofErr w:type="spellEnd"/>
      <w:r w:rsidRPr="0040688D">
        <w:rPr>
          <w:rFonts w:ascii="Invesco Interstate Light" w:eastAsia="MS Mincho" w:hAnsi="Invesco Interstate Light" w:cs="Cambria"/>
          <w:b/>
          <w:bCs/>
          <w:sz w:val="22"/>
          <w:szCs w:val="22"/>
          <w:lang w:eastAsia="ja-JP"/>
        </w:rPr>
        <w:t xml:space="preserve"> sledujeme:</w:t>
      </w:r>
    </w:p>
    <w:p w14:paraId="3802A10F" w14:textId="14ECB2F6" w:rsidR="00B41018" w:rsidRDefault="0040688D" w:rsidP="00B41018">
      <w:pPr>
        <w:pStyle w:val="Odstavecseseznamem"/>
        <w:numPr>
          <w:ilvl w:val="0"/>
          <w:numId w:val="38"/>
        </w:numPr>
        <w:spacing w:after="160"/>
        <w:contextualSpacing/>
        <w:jc w:val="both"/>
        <w:rPr>
          <w:rFonts w:ascii="Invesco Interstate Light" w:eastAsia="MS Mincho" w:hAnsi="Invesco Interstate Light"/>
          <w:lang w:eastAsia="ja-JP"/>
        </w:rPr>
      </w:pPr>
      <w:r>
        <w:rPr>
          <w:rFonts w:ascii="Invesco Interstate Light" w:eastAsia="MS Mincho" w:hAnsi="Invesco Interstate Light"/>
          <w:lang w:eastAsia="ja-JP"/>
        </w:rPr>
        <w:t>Ekonomická data z USA se vymykají očekávání</w:t>
      </w:r>
    </w:p>
    <w:p w14:paraId="09C51138" w14:textId="6A2EC656" w:rsidR="006735AE" w:rsidRPr="0040688D" w:rsidRDefault="0040688D" w:rsidP="006735AE">
      <w:pPr>
        <w:spacing w:line="360" w:lineRule="auto"/>
        <w:jc w:val="both"/>
        <w:rPr>
          <w:rFonts w:ascii="Invesco Interstate Light" w:eastAsia="MS Mincho" w:hAnsi="Invesco Interstate Light"/>
          <w:sz w:val="22"/>
          <w:szCs w:val="22"/>
          <w:lang w:eastAsia="ja-JP"/>
        </w:rPr>
      </w:pPr>
      <w:r w:rsidRPr="0040688D">
        <w:rPr>
          <w:rFonts w:ascii="Invesco Interstate Light" w:eastAsia="MS Mincho" w:hAnsi="Invesco Interstate Light"/>
          <w:sz w:val="22"/>
          <w:szCs w:val="22"/>
          <w:lang w:eastAsia="ja-JP"/>
        </w:rPr>
        <w:t xml:space="preserve">Index spotřebitelských cen (CPI) v USA za květen nadále vykazoval drobné známky tlaku na růst v důsledku cel. Celková inflace CPI činí v meziročním vyjádření pouze 2,4 %, zatímco pozorně sledovaná „jádrová“ data, která nezahrnují volatilnější ceny potravin a energií, se již tři měsíce po sobě pohybují na úrovni 2,8 % meziročně. Květnové mzdy v USA rovněž překonaly očekávání, ačkoli tempo růstu počtu pracovních míst a </w:t>
      </w:r>
      <w:r w:rsidRPr="0040688D">
        <w:rPr>
          <w:rFonts w:ascii="Invesco Interstate Light" w:eastAsia="MS Mincho" w:hAnsi="Invesco Interstate Light"/>
          <w:sz w:val="22"/>
          <w:szCs w:val="22"/>
          <w:lang w:eastAsia="ja-JP"/>
        </w:rPr>
        <w:lastRenderedPageBreak/>
        <w:t>revize údajů z předchozích měsíců směrem dolů ukazují, že trh práce začíná zpomalovat. Známky slabosti lze pozorovat v počtu žádostí o podporu v nezaměstnanosti, kde ty opakované nedávno dosáhly nejvyšší úrovně od roku 2021.</w:t>
      </w:r>
    </w:p>
    <w:p w14:paraId="2C7A6710" w14:textId="2269000D" w:rsidR="00B41018" w:rsidRPr="00B41018" w:rsidRDefault="006735AE" w:rsidP="00B41018">
      <w:pPr>
        <w:pStyle w:val="Odstavecseseznamem"/>
        <w:numPr>
          <w:ilvl w:val="1"/>
          <w:numId w:val="40"/>
        </w:numPr>
        <w:spacing w:line="360" w:lineRule="auto"/>
        <w:jc w:val="both"/>
        <w:rPr>
          <w:rFonts w:ascii="Invesco Interstate Light" w:eastAsia="MS Mincho" w:hAnsi="Invesco Interstate Light"/>
          <w:lang w:eastAsia="ja-JP"/>
        </w:rPr>
      </w:pPr>
      <w:r>
        <w:rPr>
          <w:rFonts w:ascii="Invesco Interstate Light" w:eastAsia="MS Mincho" w:hAnsi="Invesco Interstate Light"/>
          <w:lang w:eastAsia="ja-JP"/>
        </w:rPr>
        <w:t>„Dobré zprávy“ o snižování sazeb se vracejí v USA do hry</w:t>
      </w:r>
    </w:p>
    <w:p w14:paraId="6733CCBB" w14:textId="77777777" w:rsidR="006735AE" w:rsidRPr="006735AE" w:rsidRDefault="006735AE" w:rsidP="006735AE">
      <w:pPr>
        <w:spacing w:line="360" w:lineRule="auto"/>
        <w:jc w:val="both"/>
        <w:rPr>
          <w:rFonts w:ascii="Invesco Interstate Light" w:eastAsia="MS Mincho" w:hAnsi="Invesco Interstate Light"/>
          <w:sz w:val="22"/>
          <w:szCs w:val="22"/>
          <w:lang w:eastAsia="ja-JP"/>
        </w:rPr>
      </w:pPr>
      <w:r w:rsidRPr="006735AE">
        <w:rPr>
          <w:rFonts w:ascii="Invesco Interstate Light" w:eastAsia="MS Mincho" w:hAnsi="Invesco Interstate Light"/>
          <w:sz w:val="22"/>
          <w:szCs w:val="22"/>
          <w:lang w:eastAsia="ja-JP"/>
        </w:rPr>
        <w:t>Nižší než očekávaná inflace doprovázená pružnými, ale ochlazujícími se daty z trhu práce může Federálnímu rezervnímu systému (Fed) ztížit zdůvodnění, proč zůstává „při zemi“. Pokud se ukáže, že růst cen vyvolaný cly je mírnější, než se původně předpokládalo, může Fed začít snižovat sazby v reakci na „dobré“ zprávy o inflaci, místo aby čekal na „špatná“ data o zaměstnanosti a teprve poté se rozhodl snížit sazby.</w:t>
      </w:r>
    </w:p>
    <w:p w14:paraId="5269C5CB" w14:textId="4CFB2A6F" w:rsidR="00B41018" w:rsidRPr="00B41018" w:rsidRDefault="006735AE" w:rsidP="00B41018">
      <w:pPr>
        <w:pStyle w:val="Odstavecseseznamem"/>
        <w:numPr>
          <w:ilvl w:val="1"/>
          <w:numId w:val="40"/>
        </w:numPr>
        <w:spacing w:line="360" w:lineRule="auto"/>
        <w:jc w:val="both"/>
        <w:rPr>
          <w:rFonts w:ascii="Invesco Interstate Light" w:eastAsia="MS Mincho" w:hAnsi="Invesco Interstate Light"/>
          <w:lang w:eastAsia="ja-JP"/>
        </w:rPr>
      </w:pPr>
      <w:r>
        <w:rPr>
          <w:rFonts w:ascii="Invesco Interstate Light" w:eastAsia="MS Mincho" w:hAnsi="Invesco Interstate Light"/>
          <w:lang w:eastAsia="ja-JP"/>
        </w:rPr>
        <w:t>Zdá se, že globální trhy jsou nastaveny na expanzi</w:t>
      </w:r>
    </w:p>
    <w:p w14:paraId="76A16EAC" w14:textId="52B37325" w:rsidR="00B41018" w:rsidRPr="00B41018" w:rsidRDefault="006735AE" w:rsidP="006735AE">
      <w:pPr>
        <w:spacing w:line="360" w:lineRule="auto"/>
        <w:jc w:val="both"/>
        <w:rPr>
          <w:rFonts w:ascii="Invesco Interstate Light" w:eastAsia="MS Mincho" w:hAnsi="Invesco Interstate Light"/>
          <w:sz w:val="22"/>
          <w:szCs w:val="22"/>
          <w:lang w:eastAsia="ja-JP"/>
        </w:rPr>
      </w:pPr>
      <w:r w:rsidRPr="006735AE">
        <w:rPr>
          <w:rFonts w:ascii="Invesco Interstate Light" w:eastAsia="MS Mincho" w:hAnsi="Invesco Interstate Light"/>
          <w:sz w:val="22"/>
          <w:szCs w:val="22"/>
          <w:lang w:eastAsia="ja-JP"/>
        </w:rPr>
        <w:t xml:space="preserve">Americké finanční trhy považovaly data o inflaci z minulého týdne za pozitivní signál pro ekonomiku. Akcie v reakci na tato data vzrostly a sazby státních dluhopisů klesly. Americký dolar měl naopak tendenci klesat, pravděpodobně v očekávání možného snížení sazeb. Mimo USA vedlo oslabení amerického dolaru, uvolněná měnová politika a potenciál větší podpory fiskální politiky k silné </w:t>
      </w:r>
      <w:proofErr w:type="spellStart"/>
      <w:r w:rsidRPr="006735AE">
        <w:rPr>
          <w:rFonts w:ascii="Invesco Interstate Light" w:eastAsia="MS Mincho" w:hAnsi="Invesco Interstate Light"/>
          <w:sz w:val="22"/>
          <w:szCs w:val="22"/>
          <w:lang w:eastAsia="ja-JP"/>
        </w:rPr>
        <w:t>rally</w:t>
      </w:r>
      <w:proofErr w:type="spellEnd"/>
      <w:r w:rsidRPr="006735AE">
        <w:rPr>
          <w:rFonts w:ascii="Invesco Interstate Light" w:eastAsia="MS Mincho" w:hAnsi="Invesco Interstate Light"/>
          <w:sz w:val="22"/>
          <w:szCs w:val="22"/>
          <w:lang w:eastAsia="ja-JP"/>
        </w:rPr>
        <w:t xml:space="preserve"> u neamerických akcií, přičemž index MSCI EAFE vzrostl od počátku roku o 19 % a index MSCI EM o 14 % v dolarovém vyjádření. Naopak index S&amp;P 500 jen o 3 %.</w:t>
      </w:r>
    </w:p>
    <w:p w14:paraId="2D14847A" w14:textId="4C4837FE" w:rsidR="00B41018" w:rsidRPr="00B41018" w:rsidRDefault="006735AE" w:rsidP="00B41018">
      <w:pPr>
        <w:pStyle w:val="Odstavecseseznamem"/>
        <w:numPr>
          <w:ilvl w:val="1"/>
          <w:numId w:val="40"/>
        </w:numPr>
        <w:spacing w:line="360" w:lineRule="auto"/>
        <w:jc w:val="both"/>
        <w:rPr>
          <w:rFonts w:ascii="Invesco Interstate Light" w:eastAsia="MS Mincho" w:hAnsi="Invesco Interstate Light"/>
          <w:lang w:eastAsia="ja-JP"/>
        </w:rPr>
      </w:pPr>
      <w:r>
        <w:rPr>
          <w:rFonts w:ascii="Invesco Interstate Light" w:eastAsia="MS Mincho" w:hAnsi="Invesco Interstate Light"/>
          <w:lang w:eastAsia="ja-JP"/>
        </w:rPr>
        <w:t>Aukce státních dluhopisů ukazují silnou poptávku</w:t>
      </w:r>
    </w:p>
    <w:p w14:paraId="48E8233A" w14:textId="77777777" w:rsidR="006735AE" w:rsidRPr="006735AE" w:rsidRDefault="006735AE" w:rsidP="006735AE">
      <w:pPr>
        <w:spacing w:line="360" w:lineRule="auto"/>
        <w:jc w:val="both"/>
        <w:rPr>
          <w:rFonts w:ascii="Invesco Interstate Light" w:eastAsia="MS Mincho" w:hAnsi="Invesco Interstate Light"/>
          <w:sz w:val="22"/>
          <w:szCs w:val="22"/>
          <w:lang w:eastAsia="ja-JP"/>
        </w:rPr>
      </w:pPr>
      <w:r w:rsidRPr="006735AE">
        <w:rPr>
          <w:rFonts w:ascii="Invesco Interstate Light" w:eastAsia="MS Mincho" w:hAnsi="Invesco Interstate Light"/>
          <w:sz w:val="22"/>
          <w:szCs w:val="22"/>
          <w:lang w:eastAsia="ja-JP"/>
        </w:rPr>
        <w:t>Nedávné obavy o trh s americkými státními dluhopisy se zdají být přehnané. Minulý týden byla zaznamenána velmi slušná poptávka po desetiletých i třicetiletých státních dluhopisech, která následovala po lehce slabší než očekávané aukci třicetiletých dluhopisů před několika týdny. Ještě působivější bylo, že poptávka zůstala silná navzdory poklesu výnosů amerických státních dluhopisů ve dnech předcházejících aukci minulý týden, což naznačuje pokračující zájem o americký dluh i při různých úrovních úrokových sazeb.</w:t>
      </w:r>
    </w:p>
    <w:p w14:paraId="16BF6574" w14:textId="1C325946" w:rsidR="00B41018" w:rsidRPr="00B41018" w:rsidRDefault="006735AE" w:rsidP="00B41018">
      <w:pPr>
        <w:pStyle w:val="Odstavecseseznamem"/>
        <w:numPr>
          <w:ilvl w:val="1"/>
          <w:numId w:val="40"/>
        </w:numPr>
        <w:spacing w:after="160"/>
        <w:contextualSpacing/>
        <w:jc w:val="both"/>
        <w:rPr>
          <w:rFonts w:ascii="Invesco Interstate Light" w:eastAsia="MS Mincho" w:hAnsi="Invesco Interstate Light"/>
          <w:lang w:eastAsia="ja-JP"/>
        </w:rPr>
      </w:pPr>
      <w:r>
        <w:rPr>
          <w:rFonts w:ascii="Invesco Interstate Light" w:eastAsia="MS Mincho" w:hAnsi="Invesco Interstate Light"/>
          <w:lang w:eastAsia="ja-JP"/>
        </w:rPr>
        <w:t>Pokrok v obchodních dohodách s Čínou</w:t>
      </w:r>
    </w:p>
    <w:p w14:paraId="1A82E0C0" w14:textId="77777777" w:rsidR="006735AE" w:rsidRDefault="006735AE" w:rsidP="006735AE">
      <w:pPr>
        <w:spacing w:line="360" w:lineRule="auto"/>
        <w:jc w:val="both"/>
        <w:rPr>
          <w:rFonts w:ascii="Invesco Interstate Light" w:eastAsia="MS Mincho" w:hAnsi="Invesco Interstate Light"/>
          <w:sz w:val="22"/>
          <w:szCs w:val="22"/>
          <w:lang w:eastAsia="ja-JP"/>
        </w:rPr>
      </w:pPr>
      <w:r w:rsidRPr="006735AE">
        <w:rPr>
          <w:rFonts w:ascii="Invesco Interstate Light" w:eastAsia="MS Mincho" w:hAnsi="Invesco Interstate Light"/>
          <w:sz w:val="22"/>
          <w:szCs w:val="22"/>
          <w:lang w:eastAsia="ja-JP"/>
        </w:rPr>
        <w:t>Spojené státy a Čína se minulý týden sešly v Londýně, aby projednaly pokračující obchodní spor týkající se kontroly vývozu. Ačkoli podrobnosti zůstávají utajené, v zásadě bylo dosaženo dohody, podle níž USA sníží omezení vývozu vyspělých počítačových čipů do Číny výměnou za to, že Čína bude USA poskytovat stabilní dodávky vzácných nerostů, které jsou nezbytné pro výrobu. U jiných zemí však prezident Trump oznámil, že má v úmyslu informovat obchodní partnery o jednostranných celních sazbách během příštích dvou týdnů, což značí možnost eskalace po měsících vyjednávání.</w:t>
      </w:r>
    </w:p>
    <w:p w14:paraId="53D4BFD8" w14:textId="67E43BA4" w:rsidR="006735AE" w:rsidRPr="00B41018" w:rsidRDefault="006735AE" w:rsidP="006735AE">
      <w:pPr>
        <w:pStyle w:val="Odstavecseseznamem"/>
        <w:numPr>
          <w:ilvl w:val="1"/>
          <w:numId w:val="40"/>
        </w:numPr>
        <w:spacing w:after="160"/>
        <w:contextualSpacing/>
        <w:jc w:val="both"/>
        <w:rPr>
          <w:rFonts w:ascii="Invesco Interstate Light" w:eastAsia="MS Mincho" w:hAnsi="Invesco Interstate Light"/>
          <w:lang w:eastAsia="ja-JP"/>
        </w:rPr>
      </w:pPr>
      <w:r>
        <w:rPr>
          <w:rFonts w:ascii="Invesco Interstate Light" w:eastAsia="MS Mincho" w:hAnsi="Invesco Interstate Light"/>
          <w:lang w:eastAsia="ja-JP"/>
        </w:rPr>
        <w:t xml:space="preserve">Slabší trh práce ve Spojeném království pravděpodobně znamená další snižování sazeb Bank </w:t>
      </w:r>
      <w:proofErr w:type="spellStart"/>
      <w:r>
        <w:rPr>
          <w:rFonts w:ascii="Invesco Interstate Light" w:eastAsia="MS Mincho" w:hAnsi="Invesco Interstate Light"/>
          <w:lang w:eastAsia="ja-JP"/>
        </w:rPr>
        <w:t>of</w:t>
      </w:r>
      <w:proofErr w:type="spellEnd"/>
      <w:r>
        <w:rPr>
          <w:rFonts w:ascii="Invesco Interstate Light" w:eastAsia="MS Mincho" w:hAnsi="Invesco Interstate Light"/>
          <w:lang w:eastAsia="ja-JP"/>
        </w:rPr>
        <w:t xml:space="preserve"> </w:t>
      </w:r>
      <w:proofErr w:type="spellStart"/>
      <w:r>
        <w:rPr>
          <w:rFonts w:ascii="Invesco Interstate Light" w:eastAsia="MS Mincho" w:hAnsi="Invesco Interstate Light"/>
          <w:lang w:eastAsia="ja-JP"/>
        </w:rPr>
        <w:t>England</w:t>
      </w:r>
      <w:proofErr w:type="spellEnd"/>
    </w:p>
    <w:p w14:paraId="248D17BF" w14:textId="77777777" w:rsidR="006735AE" w:rsidRPr="006735AE" w:rsidRDefault="006735AE" w:rsidP="006735AE">
      <w:pPr>
        <w:spacing w:line="360" w:lineRule="auto"/>
        <w:jc w:val="both"/>
        <w:rPr>
          <w:rFonts w:ascii="Invesco Interstate Light" w:eastAsia="MS Mincho" w:hAnsi="Invesco Interstate Light"/>
          <w:sz w:val="22"/>
          <w:szCs w:val="22"/>
          <w:lang w:eastAsia="ja-JP"/>
        </w:rPr>
      </w:pPr>
    </w:p>
    <w:p w14:paraId="68556022" w14:textId="77777777" w:rsidR="006735AE" w:rsidRDefault="006735AE" w:rsidP="006735AE">
      <w:pPr>
        <w:spacing w:line="360" w:lineRule="auto"/>
        <w:jc w:val="both"/>
        <w:rPr>
          <w:rFonts w:ascii="Invesco Interstate Light" w:eastAsia="MS Mincho" w:hAnsi="Invesco Interstate Light"/>
          <w:sz w:val="22"/>
          <w:szCs w:val="22"/>
          <w:lang w:eastAsia="ja-JP"/>
        </w:rPr>
      </w:pPr>
      <w:r w:rsidRPr="006735AE">
        <w:rPr>
          <w:rFonts w:ascii="Invesco Interstate Light" w:eastAsia="MS Mincho" w:hAnsi="Invesco Interstate Light"/>
          <w:sz w:val="22"/>
          <w:szCs w:val="22"/>
          <w:lang w:eastAsia="ja-JP"/>
        </w:rPr>
        <w:lastRenderedPageBreak/>
        <w:t xml:space="preserve">Data o trhu práce ve Spojeném království ukazují, že podniky sice nepropouštějí více, ale nabírají zaměstnance pomaleji. Počet volných pracovních míst minulý týden dále klesl, protože firmy se snaží zvládnout náklady na vyšší odvody na národní pojištění. Růst mezd je nyní navíc pod předpoklady Bank </w:t>
      </w:r>
      <w:proofErr w:type="spellStart"/>
      <w:r w:rsidRPr="006735AE">
        <w:rPr>
          <w:rFonts w:ascii="Invesco Interstate Light" w:eastAsia="MS Mincho" w:hAnsi="Invesco Interstate Light"/>
          <w:sz w:val="22"/>
          <w:szCs w:val="22"/>
          <w:lang w:eastAsia="ja-JP"/>
        </w:rPr>
        <w:t>of</w:t>
      </w:r>
      <w:proofErr w:type="spellEnd"/>
      <w:r w:rsidRPr="006735AE">
        <w:rPr>
          <w:rFonts w:ascii="Invesco Interstate Light" w:eastAsia="MS Mincho" w:hAnsi="Invesco Interstate Light"/>
          <w:sz w:val="22"/>
          <w:szCs w:val="22"/>
          <w:lang w:eastAsia="ja-JP"/>
        </w:rPr>
        <w:t xml:space="preserve"> </w:t>
      </w:r>
      <w:proofErr w:type="spellStart"/>
      <w:r w:rsidRPr="006735AE">
        <w:rPr>
          <w:rFonts w:ascii="Invesco Interstate Light" w:eastAsia="MS Mincho" w:hAnsi="Invesco Interstate Light"/>
          <w:sz w:val="22"/>
          <w:szCs w:val="22"/>
          <w:lang w:eastAsia="ja-JP"/>
        </w:rPr>
        <w:t>England</w:t>
      </w:r>
      <w:proofErr w:type="spellEnd"/>
      <w:r w:rsidRPr="006735AE">
        <w:rPr>
          <w:rFonts w:ascii="Invesco Interstate Light" w:eastAsia="MS Mincho" w:hAnsi="Invesco Interstate Light"/>
          <w:sz w:val="22"/>
          <w:szCs w:val="22"/>
          <w:lang w:eastAsia="ja-JP"/>
        </w:rPr>
        <w:t xml:space="preserve"> (BOE), což naznačuje menší inflační tlak. Tato slabost dat z britského trhu práce ukazuje na rychlejší snižování sazeb </w:t>
      </w:r>
      <w:proofErr w:type="gramStart"/>
      <w:r w:rsidRPr="006735AE">
        <w:rPr>
          <w:rFonts w:ascii="Invesco Interstate Light" w:eastAsia="MS Mincho" w:hAnsi="Invesco Interstate Light"/>
          <w:sz w:val="22"/>
          <w:szCs w:val="22"/>
          <w:lang w:eastAsia="ja-JP"/>
        </w:rPr>
        <w:t>BOE,</w:t>
      </w:r>
      <w:proofErr w:type="gramEnd"/>
      <w:r w:rsidRPr="006735AE">
        <w:rPr>
          <w:rFonts w:ascii="Invesco Interstate Light" w:eastAsia="MS Mincho" w:hAnsi="Invesco Interstate Light"/>
          <w:sz w:val="22"/>
          <w:szCs w:val="22"/>
          <w:lang w:eastAsia="ja-JP"/>
        </w:rPr>
        <w:t xml:space="preserve"> než jaké oceňuje trh. To by mohlo znamenat nižší sazby hypoték pro domácnosti a potenciální podporu větších spotřebitelských výdajů.</w:t>
      </w:r>
    </w:p>
    <w:p w14:paraId="46C682DE" w14:textId="77777777" w:rsidR="00B55260" w:rsidRDefault="00B55260" w:rsidP="00651AAE">
      <w:pPr>
        <w:autoSpaceDE w:val="0"/>
        <w:autoSpaceDN w:val="0"/>
        <w:adjustRightInd w:val="0"/>
        <w:spacing w:line="240" w:lineRule="auto"/>
        <w:rPr>
          <w:rFonts w:ascii="Invesco Interstate Light" w:eastAsia="MS Mincho" w:hAnsi="Invesco Interstate Light"/>
          <w:sz w:val="22"/>
          <w:szCs w:val="22"/>
          <w:lang w:eastAsia="ja-JP"/>
        </w:rPr>
      </w:pPr>
    </w:p>
    <w:p w14:paraId="72CF18B4" w14:textId="77777777" w:rsidR="00B41018" w:rsidRDefault="00B41018" w:rsidP="00651AAE">
      <w:pPr>
        <w:autoSpaceDE w:val="0"/>
        <w:autoSpaceDN w:val="0"/>
        <w:adjustRightInd w:val="0"/>
        <w:spacing w:line="240" w:lineRule="auto"/>
        <w:rPr>
          <w:rFonts w:ascii="Invesco Interstate Light" w:hAnsi="Invesco Interstate Light"/>
          <w:b/>
          <w:bCs/>
          <w:sz w:val="22"/>
          <w:szCs w:val="22"/>
        </w:rPr>
      </w:pPr>
    </w:p>
    <w:p w14:paraId="7BF77D56" w14:textId="153253D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4C71C80" w14:textId="77777777" w:rsidR="008F44AF" w:rsidRPr="00654055" w:rsidRDefault="008F44AF" w:rsidP="008F44AF">
      <w:pPr>
        <w:autoSpaceDE w:val="0"/>
        <w:autoSpaceDN w:val="0"/>
        <w:adjustRightInd w:val="0"/>
        <w:spacing w:line="276" w:lineRule="auto"/>
        <w:rPr>
          <w:rFonts w:ascii="Invesco Interstate Light" w:hAnsi="Invesco Interstate Light"/>
          <w:sz w:val="22"/>
          <w:szCs w:val="22"/>
        </w:rPr>
      </w:pPr>
    </w:p>
    <w:p w14:paraId="059D325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Österreich</w:t>
      </w:r>
      <w:proofErr w:type="spellEnd"/>
      <w:r w:rsidRPr="000E12B4">
        <w:rPr>
          <w:rFonts w:ascii="Invesco Interstate Light" w:hAnsi="Invesco Interstate Light"/>
          <w:sz w:val="22"/>
          <w:szCs w:val="22"/>
        </w:rPr>
        <w:t xml:space="preserve"> – pobočka pobočky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Pr>
          <w:rFonts w:ascii="Invesco Interstate Light" w:hAnsi="Invesco Interstate Light"/>
          <w:sz w:val="22"/>
          <w:szCs w:val="22"/>
        </w:rPr>
        <w:t xml:space="preserve"> </w:t>
      </w:r>
      <w:r w:rsidRPr="002231C5">
        <w:rPr>
          <w:rFonts w:ascii="Invesco Interstate Light" w:hAnsi="Invesco Interstate Light" w:cs="Arial"/>
          <w:sz w:val="22"/>
          <w:szCs w:val="22"/>
          <w:lang w:eastAsia="cs-CZ"/>
        </w:rPr>
        <w:t xml:space="preserve">– </w:t>
      </w:r>
      <w:r w:rsidRPr="000E12B4">
        <w:rPr>
          <w:rFonts w:ascii="Invesco Interstate Light" w:hAnsi="Invesco Interstate Light"/>
          <w:sz w:val="22"/>
          <w:szCs w:val="22"/>
        </w:rPr>
        <w:t xml:space="preserve">jsou součástí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Ltd., společnosti pro správu aktiv se spravovanými aktivy v hodnotě více než 1 593 miliard USD (k 31. říjnu 2021).</w:t>
      </w:r>
    </w:p>
    <w:p w14:paraId="7AA022C4"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6C62B52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 případě jakýchkoli dotazů nebo potřeby dalších informací se obraťte na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Valentin Jakubow, telefon +49 69 29807-311.</w:t>
      </w:r>
    </w:p>
    <w:p w14:paraId="21CBC3FA"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212A1395"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Obsažené informace nepředstavují investiční doporučení ani jiné poradenství.  Prognózy a výhledy trhu uvedené v tomto materiálu jsou subjektivní odhady a předpoklady</w:t>
      </w:r>
    </w:p>
    <w:p w14:paraId="663DF2B9"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vedení fondu nebo jeho zástupců. Mohou se kdykoli změnit bez předchozího upozornění. Nelze zaručit, že se prognózy uskuteční podle předpokladů.</w:t>
      </w:r>
    </w:p>
    <w:p w14:paraId="71959ADD"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518F14CC" w14:textId="77777777" w:rsidR="00AA2953" w:rsidRDefault="008F44AF" w:rsidP="00AA2953">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Vydavatelem těchto informací v České republice je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An der </w:t>
      </w:r>
      <w:proofErr w:type="spellStart"/>
      <w:r w:rsidRPr="000E12B4">
        <w:rPr>
          <w:rFonts w:ascii="Invesco Interstate Light" w:hAnsi="Invesco Interstate Light"/>
          <w:sz w:val="22"/>
          <w:szCs w:val="22"/>
        </w:rPr>
        <w:t>Welle</w:t>
      </w:r>
      <w:proofErr w:type="spellEnd"/>
      <w:r w:rsidRPr="000E12B4">
        <w:rPr>
          <w:rFonts w:ascii="Invesco Interstate Light" w:hAnsi="Invesco Interstate Light"/>
          <w:sz w:val="22"/>
          <w:szCs w:val="22"/>
        </w:rPr>
        <w:t xml:space="preserve"> 5, D-60322 Frankfurt nad Mohanem.</w:t>
      </w:r>
      <w:r>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Red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Oak</w:t>
      </w:r>
      <w:proofErr w:type="spellEnd"/>
      <w:r w:rsidRPr="000E12B4">
        <w:rPr>
          <w:rFonts w:ascii="Invesco Interstate Light" w:hAnsi="Invesco Interstate Light"/>
          <w:sz w:val="22"/>
          <w:szCs w:val="22"/>
        </w:rPr>
        <w:t xml:space="preserve"> ID: 1958016</w:t>
      </w:r>
    </w:p>
    <w:p w14:paraId="429F6599" w14:textId="77777777" w:rsidR="0020026C" w:rsidRDefault="0020026C" w:rsidP="00AA2953">
      <w:pPr>
        <w:autoSpaceDE w:val="0"/>
        <w:autoSpaceDN w:val="0"/>
        <w:adjustRightInd w:val="0"/>
        <w:spacing w:line="360" w:lineRule="auto"/>
        <w:jc w:val="both"/>
        <w:rPr>
          <w:rFonts w:ascii="Invesco Interstate Light" w:hAnsi="Invesco Interstate Light"/>
          <w:b/>
          <w:sz w:val="22"/>
          <w:szCs w:val="22"/>
        </w:rPr>
      </w:pPr>
    </w:p>
    <w:p w14:paraId="6F193651" w14:textId="17CD8621" w:rsidR="00861B48" w:rsidRPr="00AA2953" w:rsidRDefault="002355DD" w:rsidP="00AA2953">
      <w:pPr>
        <w:autoSpaceDE w:val="0"/>
        <w:autoSpaceDN w:val="0"/>
        <w:adjustRightInd w:val="0"/>
        <w:spacing w:line="360" w:lineRule="auto"/>
        <w:jc w:val="both"/>
        <w:rPr>
          <w:rFonts w:ascii="Invesco Interstate Light" w:hAnsi="Invesco Interstate Light"/>
          <w:sz w:val="22"/>
          <w:szCs w:val="22"/>
        </w:rPr>
      </w:pPr>
      <w:r w:rsidRPr="00861B48">
        <w:rPr>
          <w:rFonts w:ascii="Invesco Interstate Light" w:hAnsi="Invesco Interstate Light"/>
          <w:b/>
          <w:sz w:val="22"/>
          <w:szCs w:val="22"/>
        </w:rPr>
        <w:t>Pro více informací kontaktujte:</w:t>
      </w:r>
    </w:p>
    <w:p w14:paraId="2D8CCFC3" w14:textId="77777777" w:rsidR="002355DD" w:rsidRPr="00873CBF"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Eliška Krohová</w:t>
      </w:r>
    </w:p>
    <w:p w14:paraId="6206EFAC" w14:textId="0E12027C" w:rsidR="002355DD" w:rsidRPr="0020026C"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3F25933E"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377BC0">
      <w:pPr>
        <w:spacing w:line="360" w:lineRule="auto"/>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4ADA8001" w14:textId="78096E9A" w:rsidR="00B84512" w:rsidRPr="00907B79" w:rsidRDefault="002355DD" w:rsidP="0020026C">
      <w:pPr>
        <w:spacing w:line="360" w:lineRule="auto"/>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B84512" w:rsidRPr="00907B79" w:rsidSect="004854C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0147A" w14:textId="77777777" w:rsidR="005000D1" w:rsidRDefault="005000D1">
      <w:r>
        <w:separator/>
      </w:r>
    </w:p>
  </w:endnote>
  <w:endnote w:type="continuationSeparator" w:id="0">
    <w:p w14:paraId="0F159CE2" w14:textId="77777777" w:rsidR="005000D1" w:rsidRDefault="005000D1">
      <w:r>
        <w:continuationSeparator/>
      </w:r>
    </w:p>
  </w:endnote>
  <w:endnote w:type="continuationNotice" w:id="1">
    <w:p w14:paraId="15C55C49" w14:textId="77777777" w:rsidR="005000D1" w:rsidRDefault="005000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1A631" w14:textId="77777777" w:rsidR="005000D1" w:rsidRDefault="005000D1">
      <w:r>
        <w:separator/>
      </w:r>
    </w:p>
  </w:footnote>
  <w:footnote w:type="continuationSeparator" w:id="0">
    <w:p w14:paraId="0BB84D1E" w14:textId="77777777" w:rsidR="005000D1" w:rsidRDefault="005000D1">
      <w:r>
        <w:continuationSeparator/>
      </w:r>
    </w:p>
  </w:footnote>
  <w:footnote w:type="continuationNotice" w:id="1">
    <w:p w14:paraId="3553D38C" w14:textId="77777777" w:rsidR="005000D1" w:rsidRDefault="005000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20BA15F7" w:rsidR="00702C33" w:rsidRPr="000730A6" w:rsidRDefault="0040688D" w:rsidP="0083625E">
    <w:pPr>
      <w:pStyle w:val="Zhlav"/>
      <w:pBdr>
        <w:top w:val="single" w:sz="4" w:space="3" w:color="auto"/>
      </w:pBdr>
      <w:spacing w:line="298" w:lineRule="exact"/>
      <w:ind w:left="3402"/>
      <w:jc w:val="right"/>
      <w:rPr>
        <w:color w:val="000000"/>
        <w:sz w:val="28"/>
        <w:szCs w:val="28"/>
      </w:rPr>
    </w:pPr>
    <w:r>
      <w:rPr>
        <w:color w:val="000000"/>
        <w:sz w:val="28"/>
        <w:szCs w:val="28"/>
      </w:rPr>
      <w:t>18</w:t>
    </w:r>
    <w:r w:rsidR="0083625E">
      <w:rPr>
        <w:color w:val="000000"/>
        <w:sz w:val="28"/>
        <w:szCs w:val="28"/>
      </w:rPr>
      <w:t>.</w:t>
    </w:r>
    <w:r w:rsidR="00D47C4F">
      <w:rPr>
        <w:color w:val="000000"/>
        <w:sz w:val="28"/>
        <w:szCs w:val="28"/>
      </w:rPr>
      <w:t>6</w:t>
    </w:r>
    <w:r w:rsidR="00BE4A7F">
      <w:rPr>
        <w:color w:val="000000"/>
        <w:sz w:val="28"/>
        <w:szCs w:val="28"/>
      </w:rPr>
      <w:t>.</w:t>
    </w:r>
    <w:r w:rsidR="0083625E">
      <w:rPr>
        <w:color w:val="000000"/>
        <w:sz w:val="28"/>
        <w:szCs w:val="28"/>
      </w:rPr>
      <w:t>202</w:t>
    </w:r>
    <w:r w:rsidR="00055A79">
      <w:rPr>
        <w:color w:val="000000"/>
        <w:sz w:val="28"/>
        <w:szCs w:val="28"/>
      </w:rPr>
      <w:t>5</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0A3312"/>
    <w:multiLevelType w:val="hybridMultilevel"/>
    <w:tmpl w:val="B638F3B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1371280"/>
    <w:multiLevelType w:val="hybridMultilevel"/>
    <w:tmpl w:val="F462E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282407"/>
    <w:multiLevelType w:val="hybridMultilevel"/>
    <w:tmpl w:val="31CE0928"/>
    <w:lvl w:ilvl="0" w:tplc="C944B6A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630B23"/>
    <w:multiLevelType w:val="multilevel"/>
    <w:tmpl w:val="11820CCE"/>
    <w:numStyleLink w:val="FormatvorlageAufgezhlt"/>
  </w:abstractNum>
  <w:abstractNum w:abstractNumId="21" w15:restartNumberingAfterBreak="0">
    <w:nsid w:val="51C77DF0"/>
    <w:multiLevelType w:val="hybridMultilevel"/>
    <w:tmpl w:val="DFEC23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2F842E6"/>
    <w:multiLevelType w:val="hybridMultilevel"/>
    <w:tmpl w:val="FA32E34A"/>
    <w:lvl w:ilvl="0" w:tplc="04050001">
      <w:start w:val="1"/>
      <w:numFmt w:val="bullet"/>
      <w:lvlText w:val=""/>
      <w:lvlJc w:val="left"/>
      <w:pPr>
        <w:ind w:left="360" w:hanging="360"/>
      </w:pPr>
      <w:rPr>
        <w:rFonts w:ascii="Symbol" w:hAnsi="Symbol" w:hint="default"/>
      </w:rPr>
    </w:lvl>
    <w:lvl w:ilvl="1" w:tplc="862E3118">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167826"/>
    <w:multiLevelType w:val="hybridMultilevel"/>
    <w:tmpl w:val="3DF41F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D403C3"/>
    <w:multiLevelType w:val="multilevel"/>
    <w:tmpl w:val="11820CCE"/>
    <w:numStyleLink w:val="FormatvorlageAufgezhlt"/>
  </w:abstractNum>
  <w:abstractNum w:abstractNumId="30" w15:restartNumberingAfterBreak="0">
    <w:nsid w:val="6C6C4721"/>
    <w:multiLevelType w:val="multilevel"/>
    <w:tmpl w:val="11820CCE"/>
    <w:numStyleLink w:val="FormatvorlageAufgezhlt"/>
  </w:abstractNum>
  <w:abstractNum w:abstractNumId="31"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4E5380B"/>
    <w:multiLevelType w:val="multilevel"/>
    <w:tmpl w:val="11820CCE"/>
    <w:numStyleLink w:val="FormatvorlageAufgezhlt"/>
  </w:abstractNum>
  <w:abstractNum w:abstractNumId="33"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0F7BB6"/>
    <w:multiLevelType w:val="hybridMultilevel"/>
    <w:tmpl w:val="CD3ACA02"/>
    <w:lvl w:ilvl="0" w:tplc="04050001">
      <w:start w:val="1"/>
      <w:numFmt w:val="bullet"/>
      <w:lvlText w:val=""/>
      <w:lvlJc w:val="left"/>
      <w:pPr>
        <w:ind w:left="720" w:hanging="360"/>
      </w:pPr>
      <w:rPr>
        <w:rFonts w:ascii="Symbol" w:hAnsi="Symbol" w:hint="default"/>
      </w:rPr>
    </w:lvl>
    <w:lvl w:ilvl="1" w:tplc="45A67DCE">
      <w:numFmt w:val="bullet"/>
      <w:lvlText w:val="-"/>
      <w:lvlJc w:val="left"/>
      <w:pPr>
        <w:ind w:left="1788" w:hanging="708"/>
      </w:pPr>
      <w:rPr>
        <w:rFonts w:ascii="Invesco Interstate Light" w:eastAsia="MS Mincho" w:hAnsi="Invesco Interstate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6"/>
  </w:num>
  <w:num w:numId="3" w16cid:durableId="1282105589">
    <w:abstractNumId w:val="26"/>
  </w:num>
  <w:num w:numId="4" w16cid:durableId="1617441895">
    <w:abstractNumId w:val="17"/>
  </w:num>
  <w:num w:numId="5" w16cid:durableId="1267425896">
    <w:abstractNumId w:val="20"/>
  </w:num>
  <w:num w:numId="6" w16cid:durableId="1792238606">
    <w:abstractNumId w:val="29"/>
  </w:num>
  <w:num w:numId="7" w16cid:durableId="190919629">
    <w:abstractNumId w:val="30"/>
  </w:num>
  <w:num w:numId="8" w16cid:durableId="2083285618">
    <w:abstractNumId w:val="1"/>
  </w:num>
  <w:num w:numId="9" w16cid:durableId="1653213567">
    <w:abstractNumId w:val="32"/>
  </w:num>
  <w:num w:numId="10" w16cid:durableId="849561851">
    <w:abstractNumId w:val="14"/>
  </w:num>
  <w:num w:numId="11" w16cid:durableId="1899129255">
    <w:abstractNumId w:val="5"/>
  </w:num>
  <w:num w:numId="12" w16cid:durableId="13484078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8"/>
  </w:num>
  <w:num w:numId="14" w16cid:durableId="2009676695">
    <w:abstractNumId w:val="39"/>
  </w:num>
  <w:num w:numId="15" w16cid:durableId="1629623239">
    <w:abstractNumId w:val="25"/>
  </w:num>
  <w:num w:numId="16" w16cid:durableId="1975720235">
    <w:abstractNumId w:val="9"/>
  </w:num>
  <w:num w:numId="17" w16cid:durableId="103501300">
    <w:abstractNumId w:val="2"/>
  </w:num>
  <w:num w:numId="18" w16cid:durableId="1434014312">
    <w:abstractNumId w:val="28"/>
  </w:num>
  <w:num w:numId="19" w16cid:durableId="832065860">
    <w:abstractNumId w:val="31"/>
  </w:num>
  <w:num w:numId="20" w16cid:durableId="667943464">
    <w:abstractNumId w:val="36"/>
  </w:num>
  <w:num w:numId="21" w16cid:durableId="225343112">
    <w:abstractNumId w:val="34"/>
  </w:num>
  <w:num w:numId="22" w16cid:durableId="1319532336">
    <w:abstractNumId w:val="13"/>
  </w:num>
  <w:num w:numId="23" w16cid:durableId="1341154147">
    <w:abstractNumId w:val="24"/>
  </w:num>
  <w:num w:numId="24" w16cid:durableId="796413596">
    <w:abstractNumId w:val="18"/>
  </w:num>
  <w:num w:numId="25" w16cid:durableId="2010979537">
    <w:abstractNumId w:val="37"/>
  </w:num>
  <w:num w:numId="26" w16cid:durableId="951936802">
    <w:abstractNumId w:val="23"/>
  </w:num>
  <w:num w:numId="27" w16cid:durableId="1672954226">
    <w:abstractNumId w:val="3"/>
  </w:num>
  <w:num w:numId="28" w16cid:durableId="953906591">
    <w:abstractNumId w:val="7"/>
  </w:num>
  <w:num w:numId="29" w16cid:durableId="923606003">
    <w:abstractNumId w:val="33"/>
  </w:num>
  <w:num w:numId="30" w16cid:durableId="251279824">
    <w:abstractNumId w:val="11"/>
  </w:num>
  <w:num w:numId="31" w16cid:durableId="561334413">
    <w:abstractNumId w:val="8"/>
  </w:num>
  <w:num w:numId="32" w16cid:durableId="1464276347">
    <w:abstractNumId w:val="15"/>
  </w:num>
  <w:num w:numId="33" w16cid:durableId="514879310">
    <w:abstractNumId w:val="22"/>
  </w:num>
  <w:num w:numId="34" w16cid:durableId="511531335">
    <w:abstractNumId w:val="19"/>
  </w:num>
  <w:num w:numId="35" w16cid:durableId="1821118983">
    <w:abstractNumId w:val="21"/>
  </w:num>
  <w:num w:numId="36" w16cid:durableId="1789934776">
    <w:abstractNumId w:val="6"/>
  </w:num>
  <w:num w:numId="37" w16cid:durableId="1800874279">
    <w:abstractNumId w:val="12"/>
  </w:num>
  <w:num w:numId="38" w16cid:durableId="1039015436">
    <w:abstractNumId w:val="35"/>
  </w:num>
  <w:num w:numId="39" w16cid:durableId="1411855782">
    <w:abstractNumId w:val="27"/>
  </w:num>
  <w:num w:numId="40" w16cid:durableId="1680741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4FDE"/>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A79"/>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1"/>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5AD0"/>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07"/>
    <w:rsid w:val="001F76CC"/>
    <w:rsid w:val="001F7844"/>
    <w:rsid w:val="0020026C"/>
    <w:rsid w:val="00200AD9"/>
    <w:rsid w:val="0020129D"/>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1C5"/>
    <w:rsid w:val="002232B3"/>
    <w:rsid w:val="002232E8"/>
    <w:rsid w:val="00224246"/>
    <w:rsid w:val="00225C04"/>
    <w:rsid w:val="00225C5B"/>
    <w:rsid w:val="0022676E"/>
    <w:rsid w:val="002276D6"/>
    <w:rsid w:val="00227E13"/>
    <w:rsid w:val="00230CCE"/>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67E09"/>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46DE"/>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2AF7"/>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435"/>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3EC"/>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B98"/>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56ADD"/>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38E5"/>
    <w:rsid w:val="00374A6E"/>
    <w:rsid w:val="00375445"/>
    <w:rsid w:val="0037674A"/>
    <w:rsid w:val="00376FDB"/>
    <w:rsid w:val="00377432"/>
    <w:rsid w:val="00377BC0"/>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0BB"/>
    <w:rsid w:val="003C4187"/>
    <w:rsid w:val="003C4547"/>
    <w:rsid w:val="003C4BC7"/>
    <w:rsid w:val="003C5061"/>
    <w:rsid w:val="003C520C"/>
    <w:rsid w:val="003C60D8"/>
    <w:rsid w:val="003C60F5"/>
    <w:rsid w:val="003C62E9"/>
    <w:rsid w:val="003C670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88D"/>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957"/>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460"/>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54C2"/>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97E"/>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3D00"/>
    <w:rsid w:val="004F4AE0"/>
    <w:rsid w:val="004F4C78"/>
    <w:rsid w:val="004F502B"/>
    <w:rsid w:val="004F5534"/>
    <w:rsid w:val="004F5628"/>
    <w:rsid w:val="004F5989"/>
    <w:rsid w:val="004F69D4"/>
    <w:rsid w:val="004F745E"/>
    <w:rsid w:val="004F7B9E"/>
    <w:rsid w:val="005000D1"/>
    <w:rsid w:val="00500C80"/>
    <w:rsid w:val="0050134D"/>
    <w:rsid w:val="00501499"/>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5C6"/>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47F0A"/>
    <w:rsid w:val="00550018"/>
    <w:rsid w:val="005502BA"/>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1766"/>
    <w:rsid w:val="005627A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3BC8"/>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35AE"/>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26B"/>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0E"/>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27D"/>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27EA"/>
    <w:rsid w:val="007B2A56"/>
    <w:rsid w:val="007B3040"/>
    <w:rsid w:val="007B4A9D"/>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32"/>
    <w:rsid w:val="007D6ED1"/>
    <w:rsid w:val="007D6FDE"/>
    <w:rsid w:val="007D71D8"/>
    <w:rsid w:val="007E0B25"/>
    <w:rsid w:val="007E0FCD"/>
    <w:rsid w:val="007E117B"/>
    <w:rsid w:val="007E12FD"/>
    <w:rsid w:val="007E1350"/>
    <w:rsid w:val="007E21E9"/>
    <w:rsid w:val="007E31FF"/>
    <w:rsid w:val="007E46DD"/>
    <w:rsid w:val="007E54BA"/>
    <w:rsid w:val="007E56F4"/>
    <w:rsid w:val="007E61AE"/>
    <w:rsid w:val="007E6FF3"/>
    <w:rsid w:val="007F0994"/>
    <w:rsid w:val="007F1CC9"/>
    <w:rsid w:val="007F225B"/>
    <w:rsid w:val="007F26DC"/>
    <w:rsid w:val="007F3E3D"/>
    <w:rsid w:val="007F4152"/>
    <w:rsid w:val="007F434A"/>
    <w:rsid w:val="007F4E63"/>
    <w:rsid w:val="007F4EE8"/>
    <w:rsid w:val="007F571F"/>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15A"/>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94D"/>
    <w:rsid w:val="00870CDE"/>
    <w:rsid w:val="008711EA"/>
    <w:rsid w:val="00871327"/>
    <w:rsid w:val="0087218D"/>
    <w:rsid w:val="008722F1"/>
    <w:rsid w:val="00872382"/>
    <w:rsid w:val="0087240F"/>
    <w:rsid w:val="00872E7E"/>
    <w:rsid w:val="00873CBF"/>
    <w:rsid w:val="008760EA"/>
    <w:rsid w:val="00876495"/>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514"/>
    <w:rsid w:val="008F3F4C"/>
    <w:rsid w:val="008F44AF"/>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90A"/>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B8A"/>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64B7"/>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604"/>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942"/>
    <w:rsid w:val="00A92D5D"/>
    <w:rsid w:val="00A931A7"/>
    <w:rsid w:val="00A93D88"/>
    <w:rsid w:val="00A940A3"/>
    <w:rsid w:val="00A944F7"/>
    <w:rsid w:val="00A94F94"/>
    <w:rsid w:val="00A95240"/>
    <w:rsid w:val="00A95DFC"/>
    <w:rsid w:val="00A95F18"/>
    <w:rsid w:val="00A97799"/>
    <w:rsid w:val="00AA0359"/>
    <w:rsid w:val="00AA07C0"/>
    <w:rsid w:val="00AA0E30"/>
    <w:rsid w:val="00AA1965"/>
    <w:rsid w:val="00AA1A1F"/>
    <w:rsid w:val="00AA2953"/>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018"/>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5260"/>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4C9F"/>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062"/>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4A7F"/>
    <w:rsid w:val="00BE651C"/>
    <w:rsid w:val="00BE659C"/>
    <w:rsid w:val="00BE7629"/>
    <w:rsid w:val="00BE7C14"/>
    <w:rsid w:val="00BF00FE"/>
    <w:rsid w:val="00BF0A3F"/>
    <w:rsid w:val="00BF0B90"/>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2111"/>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1C0"/>
    <w:rsid w:val="00C139EE"/>
    <w:rsid w:val="00C146B7"/>
    <w:rsid w:val="00C148C5"/>
    <w:rsid w:val="00C14B57"/>
    <w:rsid w:val="00C1546F"/>
    <w:rsid w:val="00C15831"/>
    <w:rsid w:val="00C16227"/>
    <w:rsid w:val="00C164AD"/>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698"/>
    <w:rsid w:val="00C51753"/>
    <w:rsid w:val="00C51811"/>
    <w:rsid w:val="00C5181D"/>
    <w:rsid w:val="00C5190B"/>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65C"/>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979"/>
    <w:rsid w:val="00CC4E05"/>
    <w:rsid w:val="00CC5770"/>
    <w:rsid w:val="00CC68B0"/>
    <w:rsid w:val="00CC69AE"/>
    <w:rsid w:val="00CC6CE7"/>
    <w:rsid w:val="00CD09AE"/>
    <w:rsid w:val="00CD1333"/>
    <w:rsid w:val="00CD1431"/>
    <w:rsid w:val="00CD16C0"/>
    <w:rsid w:val="00CD2CB0"/>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ACB"/>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47C4F"/>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333"/>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16F"/>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3DB9"/>
    <w:rsid w:val="00DE442E"/>
    <w:rsid w:val="00DE4631"/>
    <w:rsid w:val="00DE54E8"/>
    <w:rsid w:val="00DE5806"/>
    <w:rsid w:val="00DF0651"/>
    <w:rsid w:val="00DF0818"/>
    <w:rsid w:val="00DF0BCA"/>
    <w:rsid w:val="00DF114B"/>
    <w:rsid w:val="00DF117D"/>
    <w:rsid w:val="00DF1B81"/>
    <w:rsid w:val="00DF21B6"/>
    <w:rsid w:val="00DF2471"/>
    <w:rsid w:val="00DF34BB"/>
    <w:rsid w:val="00DF46CF"/>
    <w:rsid w:val="00DF56D2"/>
    <w:rsid w:val="00DF5B53"/>
    <w:rsid w:val="00DF653C"/>
    <w:rsid w:val="00DF6C39"/>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B3F"/>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3A"/>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C58"/>
    <w:rsid w:val="00EE4C62"/>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832"/>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78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03F4"/>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0E2"/>
    <w:rsid w:val="00FB731F"/>
    <w:rsid w:val="00FC078D"/>
    <w:rsid w:val="00FC0C43"/>
    <w:rsid w:val="00FC104A"/>
    <w:rsid w:val="00FC2102"/>
    <w:rsid w:val="00FC2B35"/>
    <w:rsid w:val="00FC3629"/>
    <w:rsid w:val="00FC3806"/>
    <w:rsid w:val="00FC3C00"/>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3D0F"/>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5A6B3-D168-4585-B88B-E5276F67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964</Words>
  <Characters>5693</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2025-06-18T09:03:00Z</dcterms:created>
  <dcterms:modified xsi:type="dcterms:W3CDTF">2025-06-18T09:03:00Z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