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1AEE3355" w:rsidR="00052C56" w:rsidRPr="0085622D" w:rsidRDefault="00B50EAE" w:rsidP="00803EB2">
      <w:pPr>
        <w:pStyle w:val="Nadpis1"/>
        <w:rPr>
          <w:rFonts w:cs="Open Sans"/>
        </w:rPr>
      </w:pPr>
      <w:r w:rsidRPr="00B50EAE">
        <w:rPr>
          <w:rFonts w:cs="Open Sans"/>
        </w:rPr>
        <w:t>Hypotéka bez vlastní nemovitosti? Víme, čím vším lze ručit</w:t>
      </w:r>
    </w:p>
    <w:p w14:paraId="1FD254E7" w14:textId="4392693E" w:rsidR="004E52B7" w:rsidRPr="004B7137" w:rsidRDefault="00940CC0" w:rsidP="004E52B7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460D7D">
        <w:rPr>
          <w:rFonts w:cs="Open Sans"/>
          <w:b/>
          <w:bCs/>
        </w:rPr>
        <w:t>8</w:t>
      </w:r>
      <w:r w:rsidRPr="00940CC0">
        <w:rPr>
          <w:rFonts w:cs="Open Sans"/>
          <w:b/>
          <w:bCs/>
        </w:rPr>
        <w:t xml:space="preserve">. </w:t>
      </w:r>
      <w:r w:rsidR="009936BC">
        <w:rPr>
          <w:rFonts w:cs="Open Sans"/>
          <w:b/>
          <w:bCs/>
        </w:rPr>
        <w:t>října</w:t>
      </w:r>
      <w:r w:rsidRPr="00940CC0">
        <w:rPr>
          <w:rFonts w:cs="Open Sans"/>
          <w:b/>
          <w:bCs/>
        </w:rPr>
        <w:t xml:space="preserve"> 2024 –</w:t>
      </w:r>
      <w:r w:rsidR="00C51B36">
        <w:rPr>
          <w:rFonts w:cs="Open Sans"/>
          <w:b/>
          <w:bCs/>
        </w:rPr>
        <w:t xml:space="preserve"> </w:t>
      </w:r>
      <w:r w:rsidR="00D715A3" w:rsidRPr="00D715A3">
        <w:rPr>
          <w:rFonts w:cs="Open Sans"/>
          <w:b/>
          <w:bCs/>
        </w:rPr>
        <w:t>Zástava nemovitosti je klíčovou součástí získání hypotečního úvěru. Existuje však řada netradičních možností zástav, které mohou žadatelé o hypotéku využít. Ručit lze například rekreačním objektem či rozestavěnou nemovitostí. Zároveň je důležité znát i nemovitosti, které jako zástavu použít nelze, jako jsou družstevní byty nebo pozemky neurčené k výstavbě. Správný výběr zástavy může výrazně ovlivnit dostupnost a podmínky hypotečního úvěru.</w:t>
      </w:r>
    </w:p>
    <w:p w14:paraId="1C7DCD50" w14:textId="19FD556C" w:rsidR="00F74476" w:rsidRDefault="00D715A3" w:rsidP="00D715A3">
      <w:r w:rsidRPr="00D715A3">
        <w:rPr>
          <w:i/>
          <w:iCs/>
        </w:rPr>
        <w:t xml:space="preserve">„Tradiční zástava kupované nemovitosti je stále nejběžnějším způsobem, jak získat hypoteční úvěr. Nicméně naše </w:t>
      </w:r>
      <w:r>
        <w:rPr>
          <w:i/>
          <w:iCs/>
        </w:rPr>
        <w:t>zkušenosti</w:t>
      </w:r>
      <w:r w:rsidRPr="00D715A3">
        <w:rPr>
          <w:i/>
          <w:iCs/>
        </w:rPr>
        <w:t xml:space="preserve"> ukazují, že existují i jiné možnosti, které mohou být vhodné pro různé typy žadatelů,“</w:t>
      </w:r>
      <w:r w:rsidRPr="00D715A3">
        <w:t xml:space="preserve"> říká Jana Vaisová, hypoteční specialistka ve společnosti FinGO.</w:t>
      </w:r>
    </w:p>
    <w:p w14:paraId="14451674" w14:textId="1AA15BFA" w:rsidR="00F74476" w:rsidRPr="00D715A3" w:rsidRDefault="005513FC" w:rsidP="00D715A3">
      <w:r>
        <w:t>Stojí za zmínku, že r</w:t>
      </w:r>
      <w:r w:rsidR="00F74476">
        <w:t xml:space="preserve">učit kupovanou nemovitostí je možné i v případě, </w:t>
      </w:r>
      <w:r w:rsidR="00FC5CF0">
        <w:t>kdy</w:t>
      </w:r>
      <w:r w:rsidR="00F74476">
        <w:t xml:space="preserve"> je</w:t>
      </w:r>
      <w:r w:rsidR="00FC5CF0">
        <w:t xml:space="preserve"> teprve</w:t>
      </w:r>
      <w:r>
        <w:t xml:space="preserve"> </w:t>
      </w:r>
      <w:r w:rsidR="00F74476" w:rsidRPr="00D715A3">
        <w:t>rozestavěn</w:t>
      </w:r>
      <w:r w:rsidR="00F74476">
        <w:t>á</w:t>
      </w:r>
      <w:r w:rsidR="00F74476" w:rsidRPr="00D715A3">
        <w:t xml:space="preserve">. </w:t>
      </w:r>
      <w:r w:rsidR="00F74476" w:rsidRPr="00D715A3">
        <w:rPr>
          <w:i/>
          <w:iCs/>
        </w:rPr>
        <w:t>„I když máte na pozemku zatím jen torzo domu, můžete jím ručit. Bank</w:t>
      </w:r>
      <w:r w:rsidR="00766663">
        <w:rPr>
          <w:i/>
          <w:iCs/>
        </w:rPr>
        <w:t>y</w:t>
      </w:r>
      <w:r w:rsidR="00F74476" w:rsidRPr="00D715A3">
        <w:rPr>
          <w:i/>
          <w:iCs/>
        </w:rPr>
        <w:t xml:space="preserve"> umožňuj</w:t>
      </w:r>
      <w:r w:rsidR="00766663">
        <w:rPr>
          <w:i/>
          <w:iCs/>
        </w:rPr>
        <w:t>í</w:t>
      </w:r>
      <w:r w:rsidR="00F74476" w:rsidRPr="00D715A3">
        <w:rPr>
          <w:i/>
          <w:iCs/>
        </w:rPr>
        <w:t xml:space="preserve"> postupné čerpání úvěru na základě průběžných protokolů o stavu stavby,“ </w:t>
      </w:r>
      <w:r w:rsidR="00844668">
        <w:t>pokračuje</w:t>
      </w:r>
      <w:r w:rsidR="00F74476" w:rsidRPr="00D715A3">
        <w:t xml:space="preserve"> </w:t>
      </w:r>
      <w:r w:rsidR="00844668">
        <w:t>Jana Vaisová</w:t>
      </w:r>
      <w:r w:rsidR="00F74476" w:rsidRPr="00D715A3">
        <w:t xml:space="preserve">. </w:t>
      </w:r>
    </w:p>
    <w:p w14:paraId="24A981C0" w14:textId="30BA3E35" w:rsidR="00D715A3" w:rsidRPr="00D715A3" w:rsidRDefault="00D715A3" w:rsidP="00D715A3">
      <w:r w:rsidRPr="00D715A3">
        <w:t xml:space="preserve">Mezi alternativní možnosti zástavy patří například rekreační objekty. </w:t>
      </w:r>
      <w:r w:rsidRPr="007174C0">
        <w:rPr>
          <w:i/>
          <w:iCs/>
        </w:rPr>
        <w:t>„Chata nebo chalupa může být využita jako zástava, pokud splňuje určité podmínky, jako je přidělené číslo popisné</w:t>
      </w:r>
      <w:r w:rsidR="000934B3">
        <w:rPr>
          <w:i/>
          <w:iCs/>
        </w:rPr>
        <w:t xml:space="preserve"> nebo orientační</w:t>
      </w:r>
      <w:r w:rsidRPr="007174C0">
        <w:rPr>
          <w:i/>
          <w:iCs/>
        </w:rPr>
        <w:t>, napojení na inženýrské sítě a roční využití,“</w:t>
      </w:r>
      <w:r w:rsidRPr="00D715A3">
        <w:rPr>
          <w:i/>
          <w:iCs/>
        </w:rPr>
        <w:t xml:space="preserve"> </w:t>
      </w:r>
      <w:r w:rsidRPr="00D715A3">
        <w:t>vysvětluje Vaisová. Tento typ zástavy může být ideální pro ty, kteří již vlastní rekreační nemovitost a hledají další zdroje financování.</w:t>
      </w:r>
    </w:p>
    <w:p w14:paraId="5135954A" w14:textId="07F8B370" w:rsidR="00D715A3" w:rsidRPr="00D715A3" w:rsidRDefault="00D715A3" w:rsidP="00D715A3">
      <w:r w:rsidRPr="00D715A3">
        <w:t xml:space="preserve">Naopak existují i nemovitosti, které jako zástavu nemohou být použity. </w:t>
      </w:r>
      <w:r w:rsidRPr="00D715A3">
        <w:rPr>
          <w:i/>
          <w:iCs/>
        </w:rPr>
        <w:t>„Družstevní byty, části nemovitostí či nemovitosti mimo území ČR nejsou přijatelné jako zástava pro standardní hypoteční úvěr. Další výjimky zahrnují nemovitosti bez pojištění či pozemky</w:t>
      </w:r>
      <w:r w:rsidR="004F012C">
        <w:rPr>
          <w:i/>
          <w:iCs/>
        </w:rPr>
        <w:t>, které nejsou určeny</w:t>
      </w:r>
      <w:r w:rsidRPr="00D715A3">
        <w:rPr>
          <w:i/>
          <w:iCs/>
        </w:rPr>
        <w:t xml:space="preserve"> k výstavbě,</w:t>
      </w:r>
      <w:r w:rsidR="00D02F2A">
        <w:rPr>
          <w:i/>
          <w:iCs/>
        </w:rPr>
        <w:t xml:space="preserve"> jako jsou například zahrady</w:t>
      </w:r>
      <w:r w:rsidR="00185AB8">
        <w:rPr>
          <w:i/>
          <w:iCs/>
        </w:rPr>
        <w:t>,</w:t>
      </w:r>
      <w:r w:rsidRPr="00D715A3">
        <w:rPr>
          <w:i/>
          <w:iCs/>
        </w:rPr>
        <w:t>“</w:t>
      </w:r>
      <w:r w:rsidRPr="00D715A3">
        <w:t xml:space="preserve"> upozorňuje Vaisová.</w:t>
      </w:r>
    </w:p>
    <w:p w14:paraId="0FAD0DAE" w14:textId="134EFF4C" w:rsidR="00D715A3" w:rsidRPr="00D715A3" w:rsidRDefault="00987F80" w:rsidP="00D715A3">
      <w:r>
        <w:t>Je důležité dbát na</w:t>
      </w:r>
      <w:r w:rsidR="00D715A3" w:rsidRPr="00D715A3">
        <w:t xml:space="preserve"> správn</w:t>
      </w:r>
      <w:r>
        <w:t>ou</w:t>
      </w:r>
      <w:r w:rsidR="00D715A3" w:rsidRPr="00D715A3">
        <w:t xml:space="preserve"> dokumentac</w:t>
      </w:r>
      <w:r>
        <w:t>i</w:t>
      </w:r>
      <w:r w:rsidR="00D715A3" w:rsidRPr="00D715A3">
        <w:t xml:space="preserve"> a spln</w:t>
      </w:r>
      <w:r w:rsidR="00812272">
        <w:t>it</w:t>
      </w:r>
      <w:r w:rsidR="00D715A3" w:rsidRPr="00D715A3">
        <w:t xml:space="preserve"> požadavk</w:t>
      </w:r>
      <w:r w:rsidR="00812272">
        <w:t>y</w:t>
      </w:r>
      <w:r w:rsidR="00D715A3" w:rsidRPr="00D715A3">
        <w:t xml:space="preserve"> bank</w:t>
      </w:r>
      <w:r w:rsidR="00812272">
        <w:t>y</w:t>
      </w:r>
      <w:r w:rsidR="00D715A3" w:rsidRPr="00D715A3">
        <w:t xml:space="preserve">. </w:t>
      </w:r>
      <w:r w:rsidR="00D715A3" w:rsidRPr="00D715A3">
        <w:rPr>
          <w:i/>
          <w:iCs/>
        </w:rPr>
        <w:t>„Žadatelé musí předložit aktuální výpis z katastru nemovitostí, odhad tržní hodnoty nemovitosti a pojistnou smlouvu. Tyto dokumenty jsou nezbytné pro úspěšné zajištění hypotečního úvěru,“</w:t>
      </w:r>
      <w:r w:rsidR="00D715A3" w:rsidRPr="00D715A3">
        <w:t xml:space="preserve"> dodává </w:t>
      </w:r>
      <w:r w:rsidR="0036671C">
        <w:t>Jana Vaisová</w:t>
      </w:r>
      <w:r w:rsidR="00D715A3" w:rsidRPr="00D715A3">
        <w:t>.</w:t>
      </w:r>
    </w:p>
    <w:p w14:paraId="0CD1CD67" w14:textId="77777777" w:rsidR="00415C0F" w:rsidRDefault="00221636" w:rsidP="00C00401">
      <w:r>
        <w:t xml:space="preserve">Pokud si žadatelé o hypotéku nejsou jisti, je vhodné </w:t>
      </w:r>
      <w:r w:rsidR="00D715A3" w:rsidRPr="00D715A3">
        <w:t>konzultovat své možnosti s</w:t>
      </w:r>
      <w:r w:rsidR="007B6C8B">
        <w:t> </w:t>
      </w:r>
      <w:r w:rsidR="00D715A3" w:rsidRPr="00D715A3">
        <w:t>odborníky</w:t>
      </w:r>
      <w:r w:rsidR="007B6C8B">
        <w:t>.</w:t>
      </w:r>
      <w:r w:rsidR="00D715A3" w:rsidRPr="00D715A3">
        <w:t xml:space="preserve"> </w:t>
      </w:r>
      <w:r w:rsidR="007B6C8B">
        <w:t>Ti</w:t>
      </w:r>
      <w:r w:rsidR="00D715A3" w:rsidRPr="00D715A3">
        <w:t xml:space="preserve"> jim pomohou najít nejvhodnější řešení podle jejich individuálních potřeb a situace.</w:t>
      </w:r>
      <w:r w:rsidR="00415C0F">
        <w:t xml:space="preserve"> </w:t>
      </w:r>
      <w:r w:rsidR="00D715A3" w:rsidRPr="00D715A3">
        <w:rPr>
          <w:i/>
          <w:iCs/>
        </w:rPr>
        <w:t>„Každý klient je jedinečný a vyžaduje individuální přístup. Naši specialisté jsou připraveni poskytnout personalizované rady a zajistit, že proces získání úvěru bude co nejhladší a nejefektivnější,“</w:t>
      </w:r>
      <w:r w:rsidR="00D715A3" w:rsidRPr="00D715A3">
        <w:t xml:space="preserve"> uzavírá Jana Vaisová.</w:t>
      </w:r>
    </w:p>
    <w:p w14:paraId="57CEC546" w14:textId="67C1A58F" w:rsidR="00712072" w:rsidRPr="00415C0F" w:rsidRDefault="00415C0F" w:rsidP="00C00401">
      <w:r>
        <w:br w:type="column"/>
      </w:r>
      <w:r w:rsidR="00712072" w:rsidRPr="005237C1">
        <w:rPr>
          <w:rFonts w:cs="Open Sans"/>
          <w:b/>
          <w:bCs/>
          <w:i/>
          <w:iCs/>
          <w:sz w:val="20"/>
          <w:szCs w:val="20"/>
        </w:rPr>
        <w:lastRenderedPageBreak/>
        <w:t xml:space="preserve">O společnosti </w:t>
      </w:r>
      <w:hyperlink r:id="rId11" w:history="1">
        <w:r w:rsidR="00712072"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="00712072"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77777777" w:rsidR="00B50EAE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2B2F2C5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2B29D0A2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762A" w14:textId="77777777" w:rsidR="00783075" w:rsidRDefault="00783075" w:rsidP="00C00401">
      <w:r>
        <w:separator/>
      </w:r>
    </w:p>
  </w:endnote>
  <w:endnote w:type="continuationSeparator" w:id="0">
    <w:p w14:paraId="574A8468" w14:textId="77777777" w:rsidR="00783075" w:rsidRDefault="00783075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5DBE" w14:textId="77777777" w:rsidR="00783075" w:rsidRDefault="00783075" w:rsidP="00C00401">
      <w:r>
        <w:separator/>
      </w:r>
    </w:p>
  </w:footnote>
  <w:footnote w:type="continuationSeparator" w:id="0">
    <w:p w14:paraId="45FAF8F4" w14:textId="77777777" w:rsidR="00783075" w:rsidRDefault="00783075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3"/>
  </w:num>
  <w:num w:numId="2" w16cid:durableId="363099003">
    <w:abstractNumId w:val="3"/>
  </w:num>
  <w:num w:numId="3" w16cid:durableId="1533155299">
    <w:abstractNumId w:val="10"/>
  </w:num>
  <w:num w:numId="4" w16cid:durableId="1809980726">
    <w:abstractNumId w:val="12"/>
  </w:num>
  <w:num w:numId="5" w16cid:durableId="1958484008">
    <w:abstractNumId w:val="8"/>
  </w:num>
  <w:num w:numId="6" w16cid:durableId="854686921">
    <w:abstractNumId w:val="5"/>
  </w:num>
  <w:num w:numId="7" w16cid:durableId="1984118866">
    <w:abstractNumId w:val="6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7"/>
  </w:num>
  <w:num w:numId="11" w16cid:durableId="1274291723">
    <w:abstractNumId w:val="0"/>
  </w:num>
  <w:num w:numId="12" w16cid:durableId="239872061">
    <w:abstractNumId w:val="11"/>
  </w:num>
  <w:num w:numId="13" w16cid:durableId="732853463">
    <w:abstractNumId w:val="9"/>
  </w:num>
  <w:num w:numId="14" w16cid:durableId="27108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73D8"/>
    <w:rsid w:val="00010B20"/>
    <w:rsid w:val="00012D02"/>
    <w:rsid w:val="00013920"/>
    <w:rsid w:val="00013C72"/>
    <w:rsid w:val="00016DBF"/>
    <w:rsid w:val="000232BB"/>
    <w:rsid w:val="000274C8"/>
    <w:rsid w:val="00027827"/>
    <w:rsid w:val="00036CB0"/>
    <w:rsid w:val="00036DED"/>
    <w:rsid w:val="00044AF5"/>
    <w:rsid w:val="000460C4"/>
    <w:rsid w:val="00050FB3"/>
    <w:rsid w:val="00052C56"/>
    <w:rsid w:val="00055F53"/>
    <w:rsid w:val="00056809"/>
    <w:rsid w:val="00065953"/>
    <w:rsid w:val="0006718E"/>
    <w:rsid w:val="00073C2D"/>
    <w:rsid w:val="00076806"/>
    <w:rsid w:val="00083A38"/>
    <w:rsid w:val="00085FBE"/>
    <w:rsid w:val="00092E75"/>
    <w:rsid w:val="00092FF4"/>
    <w:rsid w:val="000934B3"/>
    <w:rsid w:val="00094ABB"/>
    <w:rsid w:val="000962CF"/>
    <w:rsid w:val="00096508"/>
    <w:rsid w:val="00096A89"/>
    <w:rsid w:val="000970DD"/>
    <w:rsid w:val="000A2B1A"/>
    <w:rsid w:val="000A3D3E"/>
    <w:rsid w:val="000B0146"/>
    <w:rsid w:val="000B1D4B"/>
    <w:rsid w:val="000B4FF1"/>
    <w:rsid w:val="000B6269"/>
    <w:rsid w:val="000C0719"/>
    <w:rsid w:val="000D1BEF"/>
    <w:rsid w:val="000D2673"/>
    <w:rsid w:val="000D493E"/>
    <w:rsid w:val="000D4E3E"/>
    <w:rsid w:val="000D6D02"/>
    <w:rsid w:val="000E0D1B"/>
    <w:rsid w:val="000E5A63"/>
    <w:rsid w:val="000E603B"/>
    <w:rsid w:val="000F2F50"/>
    <w:rsid w:val="0010033D"/>
    <w:rsid w:val="001036E9"/>
    <w:rsid w:val="001079B5"/>
    <w:rsid w:val="001079DE"/>
    <w:rsid w:val="00114A22"/>
    <w:rsid w:val="001151DC"/>
    <w:rsid w:val="00136991"/>
    <w:rsid w:val="00137EF5"/>
    <w:rsid w:val="00141690"/>
    <w:rsid w:val="00145A00"/>
    <w:rsid w:val="00151752"/>
    <w:rsid w:val="00152681"/>
    <w:rsid w:val="00154A71"/>
    <w:rsid w:val="00155502"/>
    <w:rsid w:val="00160E3C"/>
    <w:rsid w:val="001653DF"/>
    <w:rsid w:val="001726F3"/>
    <w:rsid w:val="0017389C"/>
    <w:rsid w:val="00175583"/>
    <w:rsid w:val="00180E6A"/>
    <w:rsid w:val="00185AB8"/>
    <w:rsid w:val="0019198A"/>
    <w:rsid w:val="001A1E3F"/>
    <w:rsid w:val="001A2107"/>
    <w:rsid w:val="001A21A3"/>
    <w:rsid w:val="001A49E3"/>
    <w:rsid w:val="001B22FE"/>
    <w:rsid w:val="001B4EA0"/>
    <w:rsid w:val="001B62C3"/>
    <w:rsid w:val="001C1F70"/>
    <w:rsid w:val="001C7637"/>
    <w:rsid w:val="001D1FF3"/>
    <w:rsid w:val="001D36DC"/>
    <w:rsid w:val="001D588D"/>
    <w:rsid w:val="001E30CC"/>
    <w:rsid w:val="001E6AB9"/>
    <w:rsid w:val="001E7717"/>
    <w:rsid w:val="001F3BEA"/>
    <w:rsid w:val="001F7059"/>
    <w:rsid w:val="002049BE"/>
    <w:rsid w:val="00204ED4"/>
    <w:rsid w:val="00205CB2"/>
    <w:rsid w:val="00217E22"/>
    <w:rsid w:val="002215CF"/>
    <w:rsid w:val="00221636"/>
    <w:rsid w:val="00222C93"/>
    <w:rsid w:val="00230ED2"/>
    <w:rsid w:val="00233E02"/>
    <w:rsid w:val="00245AAA"/>
    <w:rsid w:val="002477B5"/>
    <w:rsid w:val="0025163A"/>
    <w:rsid w:val="00274D63"/>
    <w:rsid w:val="00280C2B"/>
    <w:rsid w:val="00281436"/>
    <w:rsid w:val="002820CF"/>
    <w:rsid w:val="00283CFC"/>
    <w:rsid w:val="00284142"/>
    <w:rsid w:val="00287DF5"/>
    <w:rsid w:val="00291B6E"/>
    <w:rsid w:val="002931AB"/>
    <w:rsid w:val="0029337C"/>
    <w:rsid w:val="002979E9"/>
    <w:rsid w:val="002A1B55"/>
    <w:rsid w:val="002A394A"/>
    <w:rsid w:val="002A62CB"/>
    <w:rsid w:val="002B4531"/>
    <w:rsid w:val="002B6A8F"/>
    <w:rsid w:val="002C382A"/>
    <w:rsid w:val="002D2C19"/>
    <w:rsid w:val="002E0232"/>
    <w:rsid w:val="002E4DC7"/>
    <w:rsid w:val="002E58F8"/>
    <w:rsid w:val="002E7AE6"/>
    <w:rsid w:val="002F1B87"/>
    <w:rsid w:val="002F376D"/>
    <w:rsid w:val="002F5FAF"/>
    <w:rsid w:val="00305999"/>
    <w:rsid w:val="00306401"/>
    <w:rsid w:val="003107A0"/>
    <w:rsid w:val="00317670"/>
    <w:rsid w:val="00320C20"/>
    <w:rsid w:val="0035002B"/>
    <w:rsid w:val="00366244"/>
    <w:rsid w:val="0036671C"/>
    <w:rsid w:val="003679BA"/>
    <w:rsid w:val="003760BD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DA5"/>
    <w:rsid w:val="003A6C97"/>
    <w:rsid w:val="003B238C"/>
    <w:rsid w:val="003B23D1"/>
    <w:rsid w:val="003B276A"/>
    <w:rsid w:val="003C055C"/>
    <w:rsid w:val="003C7DD3"/>
    <w:rsid w:val="003D3E78"/>
    <w:rsid w:val="003D5E0D"/>
    <w:rsid w:val="003E1DFE"/>
    <w:rsid w:val="003E5D6E"/>
    <w:rsid w:val="003E5D7F"/>
    <w:rsid w:val="003F20AC"/>
    <w:rsid w:val="00412C78"/>
    <w:rsid w:val="00414E7C"/>
    <w:rsid w:val="00415C0F"/>
    <w:rsid w:val="004212BB"/>
    <w:rsid w:val="00423B80"/>
    <w:rsid w:val="004273B7"/>
    <w:rsid w:val="00435F26"/>
    <w:rsid w:val="00436084"/>
    <w:rsid w:val="004550AD"/>
    <w:rsid w:val="00460D7D"/>
    <w:rsid w:val="00465D61"/>
    <w:rsid w:val="00466237"/>
    <w:rsid w:val="0047079E"/>
    <w:rsid w:val="004741F4"/>
    <w:rsid w:val="00475A28"/>
    <w:rsid w:val="00476526"/>
    <w:rsid w:val="00480C54"/>
    <w:rsid w:val="00484A79"/>
    <w:rsid w:val="004866AD"/>
    <w:rsid w:val="00486A2C"/>
    <w:rsid w:val="004877F4"/>
    <w:rsid w:val="004907BA"/>
    <w:rsid w:val="00495890"/>
    <w:rsid w:val="004A214F"/>
    <w:rsid w:val="004B7137"/>
    <w:rsid w:val="004C7CA1"/>
    <w:rsid w:val="004D0F48"/>
    <w:rsid w:val="004D0F7F"/>
    <w:rsid w:val="004D46E4"/>
    <w:rsid w:val="004E52B7"/>
    <w:rsid w:val="004F012C"/>
    <w:rsid w:val="004F2B8F"/>
    <w:rsid w:val="005002F0"/>
    <w:rsid w:val="0051109E"/>
    <w:rsid w:val="0051668A"/>
    <w:rsid w:val="00523422"/>
    <w:rsid w:val="005237C1"/>
    <w:rsid w:val="00523961"/>
    <w:rsid w:val="0053764C"/>
    <w:rsid w:val="00542979"/>
    <w:rsid w:val="005513FC"/>
    <w:rsid w:val="00552E7C"/>
    <w:rsid w:val="005540E2"/>
    <w:rsid w:val="0055794D"/>
    <w:rsid w:val="00567B58"/>
    <w:rsid w:val="00577EEE"/>
    <w:rsid w:val="00580910"/>
    <w:rsid w:val="00581AC6"/>
    <w:rsid w:val="00583C0E"/>
    <w:rsid w:val="00585167"/>
    <w:rsid w:val="005936A5"/>
    <w:rsid w:val="005970E4"/>
    <w:rsid w:val="005A1400"/>
    <w:rsid w:val="005A3AF4"/>
    <w:rsid w:val="005A4358"/>
    <w:rsid w:val="005A67FF"/>
    <w:rsid w:val="005B2544"/>
    <w:rsid w:val="005C43E7"/>
    <w:rsid w:val="005C67FE"/>
    <w:rsid w:val="005D5F6D"/>
    <w:rsid w:val="005E2C7A"/>
    <w:rsid w:val="005E3B20"/>
    <w:rsid w:val="005F6C4D"/>
    <w:rsid w:val="00601121"/>
    <w:rsid w:val="006012BD"/>
    <w:rsid w:val="0060356E"/>
    <w:rsid w:val="00605586"/>
    <w:rsid w:val="0060670D"/>
    <w:rsid w:val="006102A2"/>
    <w:rsid w:val="006258AB"/>
    <w:rsid w:val="00625B6D"/>
    <w:rsid w:val="00633335"/>
    <w:rsid w:val="0063471A"/>
    <w:rsid w:val="00640BEE"/>
    <w:rsid w:val="00640C88"/>
    <w:rsid w:val="00654E1C"/>
    <w:rsid w:val="00656617"/>
    <w:rsid w:val="006703ED"/>
    <w:rsid w:val="00671152"/>
    <w:rsid w:val="0068301F"/>
    <w:rsid w:val="00690A80"/>
    <w:rsid w:val="006A1252"/>
    <w:rsid w:val="006A1663"/>
    <w:rsid w:val="006A6E08"/>
    <w:rsid w:val="006B3147"/>
    <w:rsid w:val="006B3533"/>
    <w:rsid w:val="006B5CF3"/>
    <w:rsid w:val="006C0694"/>
    <w:rsid w:val="006C1B41"/>
    <w:rsid w:val="006C543A"/>
    <w:rsid w:val="006E079D"/>
    <w:rsid w:val="006E290E"/>
    <w:rsid w:val="006F1D3A"/>
    <w:rsid w:val="006F2B8E"/>
    <w:rsid w:val="006F3AA8"/>
    <w:rsid w:val="006F59BC"/>
    <w:rsid w:val="00712072"/>
    <w:rsid w:val="00712E65"/>
    <w:rsid w:val="0071463C"/>
    <w:rsid w:val="00714664"/>
    <w:rsid w:val="0071539D"/>
    <w:rsid w:val="0071584B"/>
    <w:rsid w:val="007174C0"/>
    <w:rsid w:val="00720E25"/>
    <w:rsid w:val="007211E6"/>
    <w:rsid w:val="00727AAB"/>
    <w:rsid w:val="00735D3A"/>
    <w:rsid w:val="0073629A"/>
    <w:rsid w:val="00737B21"/>
    <w:rsid w:val="00740EB7"/>
    <w:rsid w:val="007447AA"/>
    <w:rsid w:val="007570DA"/>
    <w:rsid w:val="00766663"/>
    <w:rsid w:val="007667F4"/>
    <w:rsid w:val="00775798"/>
    <w:rsid w:val="007774BA"/>
    <w:rsid w:val="00781D36"/>
    <w:rsid w:val="007821C6"/>
    <w:rsid w:val="00783075"/>
    <w:rsid w:val="00787BE3"/>
    <w:rsid w:val="00792601"/>
    <w:rsid w:val="0079453F"/>
    <w:rsid w:val="00795BB7"/>
    <w:rsid w:val="00797A44"/>
    <w:rsid w:val="0079C103"/>
    <w:rsid w:val="007A04D9"/>
    <w:rsid w:val="007A0EAA"/>
    <w:rsid w:val="007A5EA9"/>
    <w:rsid w:val="007A6DF6"/>
    <w:rsid w:val="007B0B03"/>
    <w:rsid w:val="007B3ED2"/>
    <w:rsid w:val="007B653A"/>
    <w:rsid w:val="007B6C8B"/>
    <w:rsid w:val="007C6788"/>
    <w:rsid w:val="007D4412"/>
    <w:rsid w:val="007D7647"/>
    <w:rsid w:val="007F06C6"/>
    <w:rsid w:val="007F4550"/>
    <w:rsid w:val="007F468D"/>
    <w:rsid w:val="00802969"/>
    <w:rsid w:val="008036D1"/>
    <w:rsid w:val="00803EB2"/>
    <w:rsid w:val="00807679"/>
    <w:rsid w:val="008118A6"/>
    <w:rsid w:val="00812272"/>
    <w:rsid w:val="00820CD5"/>
    <w:rsid w:val="008210F1"/>
    <w:rsid w:val="00824738"/>
    <w:rsid w:val="00824A84"/>
    <w:rsid w:val="008252B2"/>
    <w:rsid w:val="008316B2"/>
    <w:rsid w:val="008339F9"/>
    <w:rsid w:val="00835FA4"/>
    <w:rsid w:val="0083624C"/>
    <w:rsid w:val="0083675C"/>
    <w:rsid w:val="0084175F"/>
    <w:rsid w:val="008435B7"/>
    <w:rsid w:val="00844668"/>
    <w:rsid w:val="008463DB"/>
    <w:rsid w:val="00851DFC"/>
    <w:rsid w:val="0085444E"/>
    <w:rsid w:val="0085570C"/>
    <w:rsid w:val="00855AD1"/>
    <w:rsid w:val="0085622D"/>
    <w:rsid w:val="00856321"/>
    <w:rsid w:val="008575AC"/>
    <w:rsid w:val="008632A4"/>
    <w:rsid w:val="00863DB8"/>
    <w:rsid w:val="008725ED"/>
    <w:rsid w:val="008769C2"/>
    <w:rsid w:val="00883ADE"/>
    <w:rsid w:val="00891621"/>
    <w:rsid w:val="00893CF1"/>
    <w:rsid w:val="00896196"/>
    <w:rsid w:val="0089657F"/>
    <w:rsid w:val="008A6C2D"/>
    <w:rsid w:val="008B182D"/>
    <w:rsid w:val="008B1DFA"/>
    <w:rsid w:val="008B3101"/>
    <w:rsid w:val="008B76D7"/>
    <w:rsid w:val="008C48CC"/>
    <w:rsid w:val="008C699C"/>
    <w:rsid w:val="008D0AB6"/>
    <w:rsid w:val="008D3FFC"/>
    <w:rsid w:val="008D6D4E"/>
    <w:rsid w:val="008D6DA3"/>
    <w:rsid w:val="008E1465"/>
    <w:rsid w:val="008E3EA0"/>
    <w:rsid w:val="008E4261"/>
    <w:rsid w:val="008E5C9F"/>
    <w:rsid w:val="008F1B78"/>
    <w:rsid w:val="008F4BB2"/>
    <w:rsid w:val="008F7DD5"/>
    <w:rsid w:val="009006D4"/>
    <w:rsid w:val="00900CC8"/>
    <w:rsid w:val="0090746C"/>
    <w:rsid w:val="0091014A"/>
    <w:rsid w:val="0091046E"/>
    <w:rsid w:val="00912EE6"/>
    <w:rsid w:val="009136E9"/>
    <w:rsid w:val="00913811"/>
    <w:rsid w:val="009209B3"/>
    <w:rsid w:val="00921DD5"/>
    <w:rsid w:val="00927FD6"/>
    <w:rsid w:val="00934AF7"/>
    <w:rsid w:val="00935C1E"/>
    <w:rsid w:val="00940CC0"/>
    <w:rsid w:val="00942094"/>
    <w:rsid w:val="00951667"/>
    <w:rsid w:val="009563F0"/>
    <w:rsid w:val="00957E06"/>
    <w:rsid w:val="0096059C"/>
    <w:rsid w:val="0096146E"/>
    <w:rsid w:val="0096749E"/>
    <w:rsid w:val="009675DB"/>
    <w:rsid w:val="009726B3"/>
    <w:rsid w:val="00977E0B"/>
    <w:rsid w:val="00982BCC"/>
    <w:rsid w:val="00985B26"/>
    <w:rsid w:val="009868A4"/>
    <w:rsid w:val="00987F80"/>
    <w:rsid w:val="0099159B"/>
    <w:rsid w:val="00991EB0"/>
    <w:rsid w:val="009923CB"/>
    <w:rsid w:val="009936BC"/>
    <w:rsid w:val="00994C05"/>
    <w:rsid w:val="009A6856"/>
    <w:rsid w:val="009B2515"/>
    <w:rsid w:val="009B404E"/>
    <w:rsid w:val="009B4EE8"/>
    <w:rsid w:val="009B5298"/>
    <w:rsid w:val="009B6497"/>
    <w:rsid w:val="009B7112"/>
    <w:rsid w:val="009C17AA"/>
    <w:rsid w:val="009C33BB"/>
    <w:rsid w:val="009C3731"/>
    <w:rsid w:val="009C582A"/>
    <w:rsid w:val="009D3A0E"/>
    <w:rsid w:val="009D782F"/>
    <w:rsid w:val="009E19C6"/>
    <w:rsid w:val="009E6510"/>
    <w:rsid w:val="009F0F6B"/>
    <w:rsid w:val="00A12266"/>
    <w:rsid w:val="00A25E47"/>
    <w:rsid w:val="00A261DC"/>
    <w:rsid w:val="00A306EA"/>
    <w:rsid w:val="00A37C88"/>
    <w:rsid w:val="00A44B03"/>
    <w:rsid w:val="00A52262"/>
    <w:rsid w:val="00A63137"/>
    <w:rsid w:val="00A64445"/>
    <w:rsid w:val="00A64D2E"/>
    <w:rsid w:val="00A67621"/>
    <w:rsid w:val="00A728B2"/>
    <w:rsid w:val="00AA43B5"/>
    <w:rsid w:val="00AA4991"/>
    <w:rsid w:val="00AA73E8"/>
    <w:rsid w:val="00AB0DC6"/>
    <w:rsid w:val="00AB0F6F"/>
    <w:rsid w:val="00AB4F6D"/>
    <w:rsid w:val="00AB5CB4"/>
    <w:rsid w:val="00AC7B69"/>
    <w:rsid w:val="00AD517A"/>
    <w:rsid w:val="00AD5B7E"/>
    <w:rsid w:val="00AD693D"/>
    <w:rsid w:val="00AE2858"/>
    <w:rsid w:val="00AF0451"/>
    <w:rsid w:val="00AF1D50"/>
    <w:rsid w:val="00AF4940"/>
    <w:rsid w:val="00AF5C3A"/>
    <w:rsid w:val="00AF6047"/>
    <w:rsid w:val="00B04560"/>
    <w:rsid w:val="00B05318"/>
    <w:rsid w:val="00B07FD3"/>
    <w:rsid w:val="00B13DE2"/>
    <w:rsid w:val="00B164B1"/>
    <w:rsid w:val="00B20DE5"/>
    <w:rsid w:val="00B21DC7"/>
    <w:rsid w:val="00B22509"/>
    <w:rsid w:val="00B33F2B"/>
    <w:rsid w:val="00B33FD7"/>
    <w:rsid w:val="00B417EB"/>
    <w:rsid w:val="00B45A49"/>
    <w:rsid w:val="00B50EAE"/>
    <w:rsid w:val="00B53C86"/>
    <w:rsid w:val="00B61EF6"/>
    <w:rsid w:val="00B63FD5"/>
    <w:rsid w:val="00B6592C"/>
    <w:rsid w:val="00B73C1A"/>
    <w:rsid w:val="00B75A21"/>
    <w:rsid w:val="00B75B47"/>
    <w:rsid w:val="00B76FF0"/>
    <w:rsid w:val="00B904E4"/>
    <w:rsid w:val="00B9487E"/>
    <w:rsid w:val="00BA0D1B"/>
    <w:rsid w:val="00BB0BFA"/>
    <w:rsid w:val="00BB4CBA"/>
    <w:rsid w:val="00BB7DEE"/>
    <w:rsid w:val="00BC4964"/>
    <w:rsid w:val="00BC664E"/>
    <w:rsid w:val="00BD0DBD"/>
    <w:rsid w:val="00BD6071"/>
    <w:rsid w:val="00BD7D66"/>
    <w:rsid w:val="00BE2144"/>
    <w:rsid w:val="00BE3110"/>
    <w:rsid w:val="00BF578E"/>
    <w:rsid w:val="00BF6153"/>
    <w:rsid w:val="00BF6C92"/>
    <w:rsid w:val="00C00401"/>
    <w:rsid w:val="00C0609F"/>
    <w:rsid w:val="00C10D7B"/>
    <w:rsid w:val="00C164FC"/>
    <w:rsid w:val="00C27883"/>
    <w:rsid w:val="00C30D12"/>
    <w:rsid w:val="00C339D4"/>
    <w:rsid w:val="00C3652F"/>
    <w:rsid w:val="00C37F48"/>
    <w:rsid w:val="00C4358C"/>
    <w:rsid w:val="00C43B7E"/>
    <w:rsid w:val="00C4650D"/>
    <w:rsid w:val="00C4781E"/>
    <w:rsid w:val="00C5060F"/>
    <w:rsid w:val="00C51B36"/>
    <w:rsid w:val="00C52D76"/>
    <w:rsid w:val="00C53675"/>
    <w:rsid w:val="00C576E3"/>
    <w:rsid w:val="00C57CFD"/>
    <w:rsid w:val="00C60890"/>
    <w:rsid w:val="00C6449E"/>
    <w:rsid w:val="00C6607A"/>
    <w:rsid w:val="00C6772C"/>
    <w:rsid w:val="00C707E6"/>
    <w:rsid w:val="00C70881"/>
    <w:rsid w:val="00C71CA2"/>
    <w:rsid w:val="00C82F07"/>
    <w:rsid w:val="00C872FA"/>
    <w:rsid w:val="00C93FFF"/>
    <w:rsid w:val="00C97907"/>
    <w:rsid w:val="00CA2DF4"/>
    <w:rsid w:val="00CA3B59"/>
    <w:rsid w:val="00CA679E"/>
    <w:rsid w:val="00CB1CEE"/>
    <w:rsid w:val="00CC1AC9"/>
    <w:rsid w:val="00CC1DBA"/>
    <w:rsid w:val="00CC4E6E"/>
    <w:rsid w:val="00CD1E58"/>
    <w:rsid w:val="00CD7CB4"/>
    <w:rsid w:val="00CE0A94"/>
    <w:rsid w:val="00CE36A6"/>
    <w:rsid w:val="00CE36CE"/>
    <w:rsid w:val="00CE5399"/>
    <w:rsid w:val="00CF09EA"/>
    <w:rsid w:val="00CF3D71"/>
    <w:rsid w:val="00CF42BE"/>
    <w:rsid w:val="00D02F2A"/>
    <w:rsid w:val="00D0331D"/>
    <w:rsid w:val="00D06EAC"/>
    <w:rsid w:val="00D07D7E"/>
    <w:rsid w:val="00D20C22"/>
    <w:rsid w:val="00D250C7"/>
    <w:rsid w:val="00D35FAC"/>
    <w:rsid w:val="00D51447"/>
    <w:rsid w:val="00D525EB"/>
    <w:rsid w:val="00D6706A"/>
    <w:rsid w:val="00D715A3"/>
    <w:rsid w:val="00D742B6"/>
    <w:rsid w:val="00D742F3"/>
    <w:rsid w:val="00D76BFE"/>
    <w:rsid w:val="00D773A8"/>
    <w:rsid w:val="00D812D1"/>
    <w:rsid w:val="00D83AF6"/>
    <w:rsid w:val="00D86F63"/>
    <w:rsid w:val="00D9233E"/>
    <w:rsid w:val="00D97BFE"/>
    <w:rsid w:val="00DA14FF"/>
    <w:rsid w:val="00DA6606"/>
    <w:rsid w:val="00DA6895"/>
    <w:rsid w:val="00DC040C"/>
    <w:rsid w:val="00DC4B08"/>
    <w:rsid w:val="00DC52DB"/>
    <w:rsid w:val="00DC7B84"/>
    <w:rsid w:val="00DD14F7"/>
    <w:rsid w:val="00DE1159"/>
    <w:rsid w:val="00DF0E49"/>
    <w:rsid w:val="00DF2E9C"/>
    <w:rsid w:val="00DF5859"/>
    <w:rsid w:val="00E04DD7"/>
    <w:rsid w:val="00E0568D"/>
    <w:rsid w:val="00E0781B"/>
    <w:rsid w:val="00E07AB6"/>
    <w:rsid w:val="00E1263A"/>
    <w:rsid w:val="00E15815"/>
    <w:rsid w:val="00E20EB9"/>
    <w:rsid w:val="00E21E20"/>
    <w:rsid w:val="00E24119"/>
    <w:rsid w:val="00E25385"/>
    <w:rsid w:val="00E31F73"/>
    <w:rsid w:val="00E34B13"/>
    <w:rsid w:val="00E36E03"/>
    <w:rsid w:val="00E37F04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1FC5"/>
    <w:rsid w:val="00E644DC"/>
    <w:rsid w:val="00E733EF"/>
    <w:rsid w:val="00E74794"/>
    <w:rsid w:val="00E75A42"/>
    <w:rsid w:val="00E75A8D"/>
    <w:rsid w:val="00E766C4"/>
    <w:rsid w:val="00E82407"/>
    <w:rsid w:val="00E90531"/>
    <w:rsid w:val="00E909D0"/>
    <w:rsid w:val="00EA2FFD"/>
    <w:rsid w:val="00EA3881"/>
    <w:rsid w:val="00EB001C"/>
    <w:rsid w:val="00EB106F"/>
    <w:rsid w:val="00EB4878"/>
    <w:rsid w:val="00EC1799"/>
    <w:rsid w:val="00EC3B34"/>
    <w:rsid w:val="00ED2649"/>
    <w:rsid w:val="00ED3218"/>
    <w:rsid w:val="00EE60A2"/>
    <w:rsid w:val="00EF2587"/>
    <w:rsid w:val="00EF569D"/>
    <w:rsid w:val="00F0158F"/>
    <w:rsid w:val="00F028B1"/>
    <w:rsid w:val="00F13F91"/>
    <w:rsid w:val="00F17089"/>
    <w:rsid w:val="00F17816"/>
    <w:rsid w:val="00F2379E"/>
    <w:rsid w:val="00F2451C"/>
    <w:rsid w:val="00F32CCA"/>
    <w:rsid w:val="00F33647"/>
    <w:rsid w:val="00F40373"/>
    <w:rsid w:val="00F433F5"/>
    <w:rsid w:val="00F43C57"/>
    <w:rsid w:val="00F44CAB"/>
    <w:rsid w:val="00F45BF1"/>
    <w:rsid w:val="00F47D7B"/>
    <w:rsid w:val="00F50622"/>
    <w:rsid w:val="00F5087F"/>
    <w:rsid w:val="00F53CB5"/>
    <w:rsid w:val="00F545C4"/>
    <w:rsid w:val="00F60944"/>
    <w:rsid w:val="00F60A3D"/>
    <w:rsid w:val="00F643F8"/>
    <w:rsid w:val="00F67211"/>
    <w:rsid w:val="00F70848"/>
    <w:rsid w:val="00F72A42"/>
    <w:rsid w:val="00F72AE4"/>
    <w:rsid w:val="00F74476"/>
    <w:rsid w:val="00F74EC2"/>
    <w:rsid w:val="00F76739"/>
    <w:rsid w:val="00F77F3A"/>
    <w:rsid w:val="00F91AA2"/>
    <w:rsid w:val="00FA6D56"/>
    <w:rsid w:val="00FB2B67"/>
    <w:rsid w:val="00FB37D8"/>
    <w:rsid w:val="00FB73C2"/>
    <w:rsid w:val="00FC23AF"/>
    <w:rsid w:val="00FC5CF0"/>
    <w:rsid w:val="00FD1005"/>
    <w:rsid w:val="00FD22E2"/>
    <w:rsid w:val="00FD3481"/>
    <w:rsid w:val="00FD7009"/>
    <w:rsid w:val="00FE09F8"/>
    <w:rsid w:val="00FE2393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6</cp:revision>
  <dcterms:created xsi:type="dcterms:W3CDTF">2024-10-07T09:18:00Z</dcterms:created>
  <dcterms:modified xsi:type="dcterms:W3CDTF">2024-10-08T08:16:00Z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