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59672" w14:textId="7AA704F4"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Invesco: </w:t>
      </w:r>
      <w:r w:rsidR="00C52C28">
        <w:rPr>
          <w:rFonts w:ascii="Invesco Interstate Bold" w:hAnsi="Invesco Interstate Bold"/>
          <w:b/>
          <w:bCs/>
          <w:sz w:val="28"/>
          <w:szCs w:val="28"/>
        </w:rPr>
        <w:t xml:space="preserve">Když holubice křičí </w:t>
      </w:r>
      <w:r w:rsidR="00C52C28" w:rsidRPr="00C52C28">
        <w:rPr>
          <w:rFonts w:ascii="Invesco Interstate Bold" w:hAnsi="Invesco Interstate Bold"/>
          <w:b/>
          <w:bCs/>
          <w:sz w:val="28"/>
          <w:szCs w:val="28"/>
        </w:rPr>
        <w:t>–</w:t>
      </w:r>
      <w:r w:rsidR="00C52C28">
        <w:rPr>
          <w:rFonts w:ascii="Invesco Interstate Bold" w:hAnsi="Invesco Interstate Bold"/>
          <w:b/>
          <w:bCs/>
          <w:sz w:val="28"/>
          <w:szCs w:val="28"/>
        </w:rPr>
        <w:t xml:space="preserve"> Fed hlasitě signalizuje zářijové snížení sazeb</w:t>
      </w:r>
    </w:p>
    <w:p w14:paraId="02A96697" w14:textId="77777777" w:rsidR="001F6A31" w:rsidRPr="00F26CC7" w:rsidRDefault="001F6A31" w:rsidP="00916408">
      <w:pPr>
        <w:spacing w:before="100" w:beforeAutospacing="1" w:afterAutospacing="1" w:line="240" w:lineRule="auto"/>
        <w:jc w:val="both"/>
        <w:rPr>
          <w:rFonts w:ascii="Invesco Interstate Light" w:eastAsiaTheme="minorEastAsia" w:hAnsi="Invesco Interstate Light"/>
          <w:i/>
          <w:sz w:val="22"/>
          <w:szCs w:val="22"/>
        </w:rPr>
      </w:pPr>
      <w:r w:rsidRPr="00F26CC7">
        <w:rPr>
          <w:rFonts w:ascii="Invesco Interstate Light" w:eastAsiaTheme="minorEastAsia" w:hAnsi="Invesco Interstate Light"/>
          <w:i/>
          <w:sz w:val="22"/>
          <w:szCs w:val="22"/>
        </w:rPr>
        <w:t>Komentář Kristiny Hooper, vedoucí straté</w:t>
      </w:r>
      <w:r w:rsidR="00452739" w:rsidRPr="00F26CC7">
        <w:rPr>
          <w:rFonts w:ascii="Invesco Interstate Light" w:eastAsiaTheme="minorEastAsia" w:hAnsi="Invesco Interstate Light"/>
          <w:i/>
          <w:sz w:val="22"/>
          <w:szCs w:val="22"/>
        </w:rPr>
        <w:t>žky</w:t>
      </w:r>
      <w:r w:rsidR="00106C3B" w:rsidRPr="00F26CC7">
        <w:rPr>
          <w:rFonts w:ascii="Invesco Interstate Light" w:eastAsiaTheme="minorEastAsia" w:hAnsi="Invesco Interstate Light"/>
          <w:i/>
          <w:sz w:val="22"/>
          <w:szCs w:val="22"/>
        </w:rPr>
        <w:t xml:space="preserve"> </w:t>
      </w:r>
      <w:r w:rsidRPr="00F26CC7">
        <w:rPr>
          <w:rFonts w:ascii="Invesco Interstate Light" w:eastAsiaTheme="minorEastAsia" w:hAnsi="Invesco Interstate Light"/>
          <w:i/>
          <w:sz w:val="22"/>
          <w:szCs w:val="22"/>
        </w:rPr>
        <w:t>pro globální trhy, Invesco Ltd.</w:t>
      </w:r>
      <w:r w:rsidR="00106C3B" w:rsidRPr="00F26CC7">
        <w:rPr>
          <w:rFonts w:ascii="Invesco Interstate Light" w:eastAsiaTheme="minorEastAsia" w:hAnsi="Invesco Interstate Light"/>
          <w:i/>
          <w:sz w:val="22"/>
          <w:szCs w:val="22"/>
        </w:rPr>
        <w:t xml:space="preserve"> </w:t>
      </w:r>
    </w:p>
    <w:p w14:paraId="273526FD" w14:textId="23934C51" w:rsidR="00C52C28" w:rsidRPr="00CA7230" w:rsidRDefault="00C52C28" w:rsidP="00C52C28">
      <w:pPr>
        <w:spacing w:line="360" w:lineRule="auto"/>
        <w:jc w:val="both"/>
        <w:rPr>
          <w:rFonts w:ascii="Invesco Interstate Bold" w:hAnsi="Invesco Interstate Bold"/>
          <w:b/>
          <w:bCs/>
          <w:sz w:val="24"/>
          <w:szCs w:val="24"/>
        </w:rPr>
      </w:pPr>
      <w:r>
        <w:rPr>
          <w:rFonts w:ascii="Invesco Interstate Bold" w:hAnsi="Invesco Interstate Bold"/>
          <w:b/>
          <w:bCs/>
          <w:sz w:val="24"/>
          <w:szCs w:val="24"/>
        </w:rPr>
        <w:t>V minulém týdnu se americký Federální rezervní systém (Fed) vyjadřoval značně holubičím způsobem, což jen zvýšilo očekávání zářijového snížení úrokových sazeb. Nejprve jsme se dočkali zápisu z červencového zasedání Federálního výboru pro volný trh (FOMC), který byl překvapivě holubičí. Poté během svého dlouho očekávaného projevu v Jackson Hole předseda Fedu Jay Powell naznačil, že změna politiky je na spadnutí.</w:t>
      </w:r>
      <w:r w:rsidR="00EE0A7C">
        <w:rPr>
          <w:rFonts w:ascii="Invesco Interstate Bold" w:hAnsi="Invesco Interstate Bold"/>
          <w:b/>
          <w:bCs/>
          <w:sz w:val="24"/>
          <w:szCs w:val="24"/>
        </w:rPr>
        <w:t xml:space="preserve"> </w:t>
      </w:r>
    </w:p>
    <w:p w14:paraId="163B3958" w14:textId="77777777" w:rsidR="00C52C28" w:rsidRDefault="00C52C28" w:rsidP="00C52C28"/>
    <w:p w14:paraId="748881A4" w14:textId="38A5E749" w:rsidR="005A3F63" w:rsidRDefault="00C52C28" w:rsidP="00C52C28">
      <w:pPr>
        <w:spacing w:line="360" w:lineRule="auto"/>
        <w:jc w:val="both"/>
        <w:rPr>
          <w:rFonts w:ascii="Invesco Interstate Light" w:hAnsi="Invesco Interstate Light"/>
          <w:b/>
          <w:bCs/>
          <w:sz w:val="22"/>
          <w:szCs w:val="22"/>
        </w:rPr>
      </w:pPr>
      <w:r>
        <w:rPr>
          <w:rFonts w:ascii="Invesco Interstate Light" w:hAnsi="Invesco Interstate Light"/>
          <w:b/>
          <w:bCs/>
          <w:sz w:val="22"/>
          <w:szCs w:val="22"/>
        </w:rPr>
        <w:t>Podle FOMC je pravděpodobně vhodné snížit sazby v září</w:t>
      </w:r>
    </w:p>
    <w:p w14:paraId="4A968FF0" w14:textId="77777777" w:rsidR="00C52C28" w:rsidRPr="00C52C28" w:rsidRDefault="00C52C28" w:rsidP="00C52C28">
      <w:pPr>
        <w:spacing w:line="360" w:lineRule="auto"/>
        <w:jc w:val="both"/>
        <w:rPr>
          <w:rFonts w:ascii="Invesco Interstate Light" w:eastAsiaTheme="minorEastAsia" w:hAnsi="Invesco Interstate Light"/>
          <w:sz w:val="22"/>
          <w:szCs w:val="22"/>
        </w:rPr>
      </w:pPr>
      <w:r w:rsidRPr="00764D95">
        <w:rPr>
          <w:rFonts w:ascii="Arial" w:hAnsi="Arial" w:cs="Arial"/>
          <w:color w:val="000000"/>
          <w:lang w:eastAsia="cs-CZ"/>
        </w:rPr>
        <w:t>Z</w:t>
      </w:r>
      <w:r w:rsidRPr="00C52C28">
        <w:rPr>
          <w:rFonts w:ascii="Invesco Interstate Light" w:eastAsiaTheme="minorEastAsia" w:hAnsi="Invesco Interstate Light"/>
          <w:sz w:val="22"/>
          <w:szCs w:val="22"/>
        </w:rPr>
        <w:t>ápis z červencového zasedání FOMC byl překvapivě holubičí; účastníci zasedání uznali, že USA dosáhly přesvědčivějšího dezinflačního pokroku. Důležitější je, že se zaměřili na rizika působící směrem dolů, zejména na oslabující trh práce a obavy z vážnějšího zhoršení – a červencové zasedání samozřejmě proběhlo dlouho před srpnovým zveřejněním předběžného ročního přehledu pracovních míst, který ukázal značnou revizi vytvořených pracovních míst směrem dolů.</w:t>
      </w:r>
    </w:p>
    <w:p w14:paraId="4BB71FD8" w14:textId="77777777" w:rsidR="00C52C28" w:rsidRPr="00C52C28" w:rsidRDefault="00B41391" w:rsidP="00C52C28">
      <w:pPr>
        <w:spacing w:line="360" w:lineRule="auto"/>
        <w:jc w:val="both"/>
        <w:rPr>
          <w:rFonts w:ascii="Invesco Interstate Light" w:eastAsiaTheme="minorEastAsia" w:hAnsi="Invesco Interstate Light"/>
          <w:sz w:val="22"/>
          <w:szCs w:val="22"/>
        </w:rPr>
      </w:pPr>
      <w:r>
        <w:rPr>
          <w:rFonts w:ascii="Arial" w:hAnsi="Arial" w:cs="Arial"/>
          <w:color w:val="000000"/>
          <w:lang w:eastAsia="cs-CZ"/>
        </w:rPr>
        <w:br/>
      </w:r>
      <w:r w:rsidR="00C52C28" w:rsidRPr="00C52C28">
        <w:rPr>
          <w:rFonts w:ascii="Invesco Interstate Light" w:eastAsiaTheme="minorEastAsia" w:hAnsi="Invesco Interstate Light"/>
          <w:sz w:val="22"/>
          <w:szCs w:val="22"/>
        </w:rPr>
        <w:t>Zatímco „několik“ účastníků poznamenalo, že příliš brzké uvolnění měnové politiky by mohlo znamenat riziko obnovení inflace, „mnoho“ účastníků říkalo, že příliš malé nebo příliš pozdní uvolnění politiky „by mohlo znamenat riziko nepřiměřeného oslabení ekonomické aktivity nebo zaměstnanosti“.</w:t>
      </w:r>
    </w:p>
    <w:p w14:paraId="61774521" w14:textId="3936676F" w:rsidR="00C52C28" w:rsidRDefault="00B41391" w:rsidP="00F578BE">
      <w:pPr>
        <w:spacing w:line="360" w:lineRule="auto"/>
        <w:jc w:val="both"/>
        <w:rPr>
          <w:rFonts w:ascii="Invesco Interstate Light" w:eastAsiaTheme="minorEastAsia" w:hAnsi="Invesco Interstate Light"/>
          <w:i/>
          <w:iCs/>
          <w:sz w:val="22"/>
          <w:szCs w:val="22"/>
        </w:rPr>
      </w:pPr>
      <w:r>
        <w:rPr>
          <w:rFonts w:ascii="Arial" w:hAnsi="Arial" w:cs="Arial"/>
          <w:color w:val="000000"/>
          <w:lang w:eastAsia="cs-CZ"/>
        </w:rPr>
        <w:br/>
      </w:r>
      <w:r w:rsidR="00251567" w:rsidRPr="00251567">
        <w:rPr>
          <w:rFonts w:ascii="Invesco Interstate Light" w:eastAsiaTheme="minorEastAsia" w:hAnsi="Invesco Interstate Light"/>
          <w:sz w:val="22"/>
          <w:szCs w:val="22"/>
        </w:rPr>
        <w:t xml:space="preserve">Minulý týden viceguvernér Bank of Japan Šiniči Učida navrhnul určité uklidnění: </w:t>
      </w:r>
      <w:r w:rsidR="00251567" w:rsidRPr="00251567">
        <w:rPr>
          <w:rFonts w:ascii="Invesco Interstate Light" w:eastAsiaTheme="minorEastAsia" w:hAnsi="Invesco Interstate Light"/>
          <w:i/>
          <w:iCs/>
          <w:sz w:val="22"/>
          <w:szCs w:val="22"/>
        </w:rPr>
        <w:t>„Vzhledem k tomu, že jsme svědky prudké volatility na domácích i zahraničních finančních trzích, je nutné zachovat současnou úroveň uvolňování měnové politiky.“</w:t>
      </w:r>
    </w:p>
    <w:p w14:paraId="5EDC2E45" w14:textId="0D920E4C" w:rsidR="00C52C28" w:rsidRDefault="00C52C28" w:rsidP="00C52C28">
      <w:pPr>
        <w:spacing w:line="360" w:lineRule="auto"/>
        <w:jc w:val="both"/>
        <w:rPr>
          <w:rFonts w:ascii="Invesco Interstate Light" w:eastAsiaTheme="minorEastAsia" w:hAnsi="Invesco Interstate Light"/>
          <w:sz w:val="22"/>
          <w:szCs w:val="22"/>
        </w:rPr>
      </w:pPr>
      <w:r w:rsidRPr="00C52C28">
        <w:rPr>
          <w:rFonts w:ascii="Arial" w:hAnsi="Arial" w:cs="Arial"/>
          <w:color w:val="000000"/>
          <w:lang w:eastAsia="cs-CZ"/>
        </w:rPr>
        <w:br/>
      </w:r>
      <w:r w:rsidRPr="00C52C28">
        <w:rPr>
          <w:rFonts w:ascii="Invesco Interstate Light" w:eastAsiaTheme="minorEastAsia" w:hAnsi="Invesco Interstate Light"/>
          <w:sz w:val="22"/>
          <w:szCs w:val="22"/>
        </w:rPr>
        <w:t>Zdá se, že Fed již nevidí rizika jako vyvážená: Někteří účastníci upozornili na riziko, že další postupné uvolňování podmínek na trhu práce by mohlo přejít ve vážnější zhoršení.</w:t>
      </w:r>
      <w:r w:rsidR="00764D95">
        <w:rPr>
          <w:rFonts w:ascii="Invesco Interstate Light" w:eastAsiaTheme="minorEastAsia" w:hAnsi="Invesco Interstate Light"/>
          <w:sz w:val="22"/>
          <w:szCs w:val="22"/>
        </w:rPr>
        <w:t xml:space="preserve"> </w:t>
      </w:r>
      <w:r w:rsidRPr="00C52C28">
        <w:rPr>
          <w:rFonts w:ascii="Invesco Interstate Light" w:eastAsiaTheme="minorEastAsia" w:hAnsi="Invesco Interstate Light"/>
          <w:sz w:val="22"/>
          <w:szCs w:val="22"/>
        </w:rPr>
        <w:t>Většina účastníků poznamenala, že rizika ohrožující cíl zaměstnanosti se zvýšila, a mnoho účastníků poznamenalo, že rizika ohrožující inflační cíl se snížila.</w:t>
      </w:r>
    </w:p>
    <w:p w14:paraId="341B5161" w14:textId="77777777" w:rsidR="00764D95" w:rsidRDefault="00764D95" w:rsidP="00C52C28">
      <w:pPr>
        <w:spacing w:line="360" w:lineRule="auto"/>
        <w:jc w:val="both"/>
        <w:rPr>
          <w:rFonts w:ascii="Invesco Interstate Light" w:eastAsiaTheme="minorEastAsia" w:hAnsi="Invesco Interstate Light"/>
          <w:sz w:val="22"/>
          <w:szCs w:val="22"/>
        </w:rPr>
      </w:pPr>
    </w:p>
    <w:p w14:paraId="26556BEE" w14:textId="793D52D6" w:rsidR="00C52C28" w:rsidRDefault="00764D95" w:rsidP="00F578BE">
      <w:pPr>
        <w:spacing w:line="360" w:lineRule="auto"/>
        <w:jc w:val="both"/>
        <w:rPr>
          <w:rFonts w:ascii="Invesco Interstate Light" w:eastAsiaTheme="minorEastAsia" w:hAnsi="Invesco Interstate Light"/>
          <w:sz w:val="22"/>
          <w:szCs w:val="22"/>
        </w:rPr>
      </w:pPr>
      <w:r w:rsidRPr="00764D95">
        <w:rPr>
          <w:rFonts w:ascii="Invesco Interstate Light" w:eastAsiaTheme="minorEastAsia" w:hAnsi="Invesco Interstate Light"/>
          <w:sz w:val="22"/>
          <w:szCs w:val="22"/>
        </w:rPr>
        <w:t xml:space="preserve">Je také důležité poznamenat, že ekonomická prognóza zaměstnanců pro červencové zasedání FOMC byla „snížena převážně v reakci na slabší než očekávané ukazatele trhu práce“. Dozvěděli jsme se také, že </w:t>
      </w:r>
      <w:r w:rsidRPr="00764D95">
        <w:rPr>
          <w:rFonts w:ascii="Invesco Interstate Light" w:eastAsiaTheme="minorEastAsia" w:hAnsi="Invesco Interstate Light"/>
          <w:sz w:val="22"/>
          <w:szCs w:val="22"/>
        </w:rPr>
        <w:lastRenderedPageBreak/>
        <w:t>„naprostá většina“ účastníků uvedla, že „by bylo pravděpodobně vhodné politiku na příštím zasedání uvolnit“, pokud by se ekonomika vyvíjela podle očekávání výboru.</w:t>
      </w:r>
    </w:p>
    <w:p w14:paraId="34538FD7" w14:textId="77777777" w:rsidR="00251567" w:rsidRDefault="00251567" w:rsidP="001C27B4">
      <w:pPr>
        <w:autoSpaceDE w:val="0"/>
        <w:autoSpaceDN w:val="0"/>
        <w:adjustRightInd w:val="0"/>
        <w:spacing w:line="276" w:lineRule="auto"/>
        <w:rPr>
          <w:rFonts w:ascii="Invesco Interstate Light" w:eastAsiaTheme="minorEastAsia" w:hAnsi="Invesco Interstate Light"/>
          <w:sz w:val="22"/>
          <w:szCs w:val="22"/>
        </w:rPr>
      </w:pPr>
    </w:p>
    <w:p w14:paraId="4514FB45" w14:textId="70A3A040" w:rsidR="001C27B4" w:rsidRPr="001C27B4" w:rsidRDefault="00764D95" w:rsidP="001C27B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Powell vysvětluje, že nyní je čas na úpravu politiky Fedu</w:t>
      </w:r>
    </w:p>
    <w:p w14:paraId="37252C51" w14:textId="64C0DDC2" w:rsidR="00764D95" w:rsidRPr="00764D95" w:rsidRDefault="00251567" w:rsidP="00764D95">
      <w:pPr>
        <w:spacing w:line="360" w:lineRule="auto"/>
        <w:jc w:val="both"/>
        <w:rPr>
          <w:rFonts w:ascii="Invesco Interstate Light" w:eastAsiaTheme="minorEastAsia" w:hAnsi="Invesco Interstate Light"/>
          <w:sz w:val="22"/>
          <w:szCs w:val="22"/>
        </w:rPr>
      </w:pPr>
      <w:r>
        <w:br/>
      </w:r>
      <w:r w:rsidR="00764D95" w:rsidRPr="00764D95">
        <w:rPr>
          <w:rFonts w:ascii="Invesco Interstate Light" w:eastAsiaTheme="minorEastAsia" w:hAnsi="Invesco Interstate Light"/>
          <w:sz w:val="22"/>
          <w:szCs w:val="22"/>
        </w:rPr>
        <w:t xml:space="preserve">Pak přišel dlouho očekávaný Powellův projev ze sympozia Fedu v Kansas City v Jackson Hole. Powell byl více holubičí, než jsem očekávala. Podle mého názoru Powell řekl správné věci a naznačil, že změna politiky je na spadnutí: </w:t>
      </w:r>
      <w:r w:rsidR="00764D95" w:rsidRPr="00764D95">
        <w:rPr>
          <w:rFonts w:ascii="Invesco Interstate Light" w:eastAsiaTheme="minorEastAsia" w:hAnsi="Invesco Interstate Light"/>
          <w:i/>
          <w:iCs/>
          <w:sz w:val="22"/>
          <w:szCs w:val="22"/>
        </w:rPr>
        <w:t xml:space="preserve">„Nastal čas, aby se politika přizpůsobila. Jakým směrem se to bude vyvíjet je jasné a načasování a tempo snižování sazeb bude záviset na příchozích datech, vývoji výhledu a rovnováze rizik.“ </w:t>
      </w:r>
      <w:r w:rsidR="00764D95" w:rsidRPr="00764D95">
        <w:rPr>
          <w:rFonts w:ascii="Invesco Interstate Light" w:eastAsiaTheme="minorEastAsia" w:hAnsi="Invesco Interstate Light"/>
          <w:sz w:val="22"/>
          <w:szCs w:val="22"/>
        </w:rPr>
        <w:t>Prohlásil také:</w:t>
      </w:r>
      <w:r w:rsidR="00764D95" w:rsidRPr="00764D95">
        <w:rPr>
          <w:rFonts w:ascii="Invesco Interstate Light" w:eastAsiaTheme="minorEastAsia" w:hAnsi="Invesco Interstate Light"/>
          <w:i/>
          <w:iCs/>
          <w:sz w:val="22"/>
          <w:szCs w:val="22"/>
        </w:rPr>
        <w:t xml:space="preserve"> „Neusilujeme o další ochlazení podmínek na trhu práce a ani je nevítáme“.</w:t>
      </w:r>
      <w:r w:rsidR="00764D95" w:rsidRPr="00764D95">
        <w:rPr>
          <w:rFonts w:ascii="Invesco Interstate Light" w:eastAsiaTheme="minorEastAsia" w:hAnsi="Invesco Interstate Light"/>
          <w:sz w:val="22"/>
          <w:szCs w:val="22"/>
        </w:rPr>
        <w:t xml:space="preserve"> </w:t>
      </w:r>
    </w:p>
    <w:p w14:paraId="5B401E8C" w14:textId="77777777" w:rsidR="00764D95" w:rsidRPr="00764D95" w:rsidRDefault="00764D95" w:rsidP="00764D95">
      <w:pPr>
        <w:spacing w:line="360" w:lineRule="auto"/>
        <w:jc w:val="both"/>
        <w:rPr>
          <w:rFonts w:ascii="Invesco Interstate Light" w:eastAsiaTheme="minorEastAsia" w:hAnsi="Invesco Interstate Light"/>
          <w:sz w:val="22"/>
          <w:szCs w:val="22"/>
        </w:rPr>
      </w:pPr>
    </w:p>
    <w:p w14:paraId="2821E689" w14:textId="77777777" w:rsidR="00764D95" w:rsidRPr="00764D95" w:rsidRDefault="00764D95" w:rsidP="00764D95">
      <w:pPr>
        <w:spacing w:line="360" w:lineRule="auto"/>
        <w:jc w:val="both"/>
        <w:rPr>
          <w:rFonts w:ascii="Invesco Interstate Light" w:eastAsiaTheme="minorEastAsia" w:hAnsi="Invesco Interstate Light"/>
          <w:sz w:val="22"/>
          <w:szCs w:val="22"/>
        </w:rPr>
      </w:pPr>
      <w:r w:rsidRPr="00764D95">
        <w:rPr>
          <w:rFonts w:ascii="Invesco Interstate Light" w:eastAsiaTheme="minorEastAsia" w:hAnsi="Invesco Interstate Light"/>
          <w:sz w:val="22"/>
          <w:szCs w:val="22"/>
        </w:rPr>
        <w:t>Powell dokonce nepoužil termín „postupné“, aby popsal svá očekávání kolem snižování sazeb. Není překvapením, že trhy reagovaly pozitivně, přičemž se dařilo především akciím s nízkou kapitalizací a cyklickým akciím.</w:t>
      </w:r>
    </w:p>
    <w:p w14:paraId="5D01ED2F" w14:textId="77777777" w:rsidR="00764D95" w:rsidRPr="00764D95" w:rsidRDefault="00764D95" w:rsidP="00764D95">
      <w:pPr>
        <w:spacing w:line="360" w:lineRule="auto"/>
        <w:jc w:val="both"/>
        <w:rPr>
          <w:rFonts w:ascii="Invesco Interstate Light" w:eastAsiaTheme="minorEastAsia" w:hAnsi="Invesco Interstate Light"/>
          <w:sz w:val="22"/>
          <w:szCs w:val="22"/>
        </w:rPr>
      </w:pPr>
    </w:p>
    <w:p w14:paraId="3795D7B5" w14:textId="77777777" w:rsidR="00764D95" w:rsidRPr="00764D95" w:rsidRDefault="00764D95" w:rsidP="00764D95">
      <w:pPr>
        <w:spacing w:line="360" w:lineRule="auto"/>
        <w:jc w:val="both"/>
        <w:rPr>
          <w:rFonts w:ascii="Invesco Interstate Light" w:eastAsiaTheme="minorEastAsia" w:hAnsi="Invesco Interstate Light"/>
          <w:sz w:val="22"/>
          <w:szCs w:val="22"/>
        </w:rPr>
      </w:pPr>
      <w:r w:rsidRPr="00764D95">
        <w:rPr>
          <w:rFonts w:ascii="Invesco Interstate Light" w:eastAsiaTheme="minorEastAsia" w:hAnsi="Invesco Interstate Light"/>
          <w:sz w:val="22"/>
          <w:szCs w:val="22"/>
        </w:rPr>
        <w:t>Naposledy Fed zvýšil sazby 26. července 2023. Pokud dojde ke snížení sazeb v září, znamená to, že mezi posledním zvýšením sazeb a prvním snížením sazeb uplyne přibližně 14 měsíců, což je výrazně delší doba než průměrný časový rámec mezi koncem zpřísňování a začátkem uvolňování (průměrná doba od posledního zvýšení sazeb do prvního snížení sazeb v posledních čtyřech cyklech činila 9 měsíců).</w:t>
      </w:r>
    </w:p>
    <w:p w14:paraId="76F65202" w14:textId="0A810E9A" w:rsidR="00251567" w:rsidRPr="00251567" w:rsidRDefault="00251567" w:rsidP="00764D95">
      <w:pPr>
        <w:spacing w:line="360" w:lineRule="auto"/>
        <w:jc w:val="both"/>
        <w:rPr>
          <w:rFonts w:ascii="Invesco Interstate Light" w:eastAsiaTheme="minorEastAsia" w:hAnsi="Invesco Interstate Light"/>
          <w:sz w:val="22"/>
          <w:szCs w:val="22"/>
        </w:rPr>
      </w:pPr>
    </w:p>
    <w:p w14:paraId="7589BBA6" w14:textId="500588C1" w:rsidR="007F58A4" w:rsidRPr="007F58A4" w:rsidRDefault="00764D95" w:rsidP="007F58A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Trhy pozorně sledují ekonomická data</w:t>
      </w:r>
    </w:p>
    <w:p w14:paraId="49B03253" w14:textId="77777777" w:rsidR="00764D95" w:rsidRPr="00764D95" w:rsidRDefault="00251567" w:rsidP="00764D95">
      <w:pPr>
        <w:spacing w:line="360" w:lineRule="auto"/>
        <w:jc w:val="both"/>
        <w:rPr>
          <w:rFonts w:ascii="Invesco Interstate Light" w:eastAsiaTheme="minorEastAsia" w:hAnsi="Invesco Interstate Light"/>
          <w:sz w:val="22"/>
          <w:szCs w:val="22"/>
        </w:rPr>
      </w:pPr>
      <w:r>
        <w:br/>
      </w:r>
      <w:r w:rsidR="00764D95" w:rsidRPr="00764D95">
        <w:rPr>
          <w:rFonts w:ascii="Invesco Interstate Light" w:eastAsiaTheme="minorEastAsia" w:hAnsi="Invesco Interstate Light"/>
          <w:sz w:val="22"/>
          <w:szCs w:val="22"/>
        </w:rPr>
        <w:t>Akcie na tento okamžik dlouho čekaly. V minulém roce jsme měli několik období, kdy akcie s malou tržní kapitalizací a cyklické akcie krátce výkonnostně překonávaly, ale nikdy to nebylo udržitelné. Tentokrát se však domnívám, že taková výkonnost by mohla být udržitelná – pokud nové ekonomické údaje znovu nevyvolají obavy z recese.</w:t>
      </w:r>
    </w:p>
    <w:p w14:paraId="73023870" w14:textId="77777777" w:rsidR="00764D95" w:rsidRPr="00764D95" w:rsidRDefault="00764D95" w:rsidP="00764D95">
      <w:pPr>
        <w:spacing w:line="360" w:lineRule="auto"/>
        <w:jc w:val="both"/>
        <w:rPr>
          <w:rFonts w:ascii="Invesco Interstate Light" w:eastAsiaTheme="minorEastAsia" w:hAnsi="Invesco Interstate Light"/>
          <w:sz w:val="22"/>
          <w:szCs w:val="22"/>
        </w:rPr>
      </w:pPr>
    </w:p>
    <w:p w14:paraId="0787763E" w14:textId="73D324C6" w:rsidR="00764D95" w:rsidRPr="00764D95" w:rsidRDefault="00764D95" w:rsidP="00764D95">
      <w:pPr>
        <w:spacing w:line="360" w:lineRule="auto"/>
        <w:jc w:val="both"/>
        <w:rPr>
          <w:rFonts w:ascii="Invesco Interstate Light" w:eastAsiaTheme="minorEastAsia" w:hAnsi="Invesco Interstate Light"/>
          <w:sz w:val="22"/>
          <w:szCs w:val="22"/>
        </w:rPr>
      </w:pPr>
      <w:r w:rsidRPr="00764D95">
        <w:rPr>
          <w:rFonts w:ascii="Invesco Interstate Light" w:eastAsiaTheme="minorEastAsia" w:hAnsi="Invesco Interstate Light"/>
          <w:sz w:val="22"/>
          <w:szCs w:val="22"/>
        </w:rPr>
        <w:t xml:space="preserve">Měkké přistání je stále mým základním scénářem pro americkou ekonomiku, ale riziko recese se zvyšuje každým dnem, kdy je měnová politika restriktivní. Od nynějška až do zářijového zasedání FOMC bychom měli pozorně sledovat ekonomická data, zda se neobjeví známky dalšího oslabení, protože riziko recese je největším rizikem, kterému ekonomika nyní čelí. V minulých měsících byly špatné zprávy o ekonomice považovány za dobrou zprávu pro akcie, protože zvyšovaly šance na snížení sazeb Fedu. Nyní je však </w:t>
      </w:r>
      <w:r w:rsidRPr="00764D95">
        <w:rPr>
          <w:rFonts w:ascii="Invesco Interstate Light" w:eastAsiaTheme="minorEastAsia" w:hAnsi="Invesco Interstate Light"/>
          <w:sz w:val="22"/>
          <w:szCs w:val="22"/>
        </w:rPr>
        <w:lastRenderedPageBreak/>
        <w:t>pravděpodobné, že špatné zprávy budou jednoduše vnímány jako špatné zprávy. Horší</w:t>
      </w:r>
      <w:r>
        <w:rPr>
          <w:rFonts w:ascii="Invesco Interstate Light" w:eastAsiaTheme="minorEastAsia" w:hAnsi="Invesco Interstate Light"/>
          <w:sz w:val="22"/>
          <w:szCs w:val="22"/>
        </w:rPr>
        <w:t>,</w:t>
      </w:r>
      <w:r w:rsidRPr="00764D95">
        <w:rPr>
          <w:rFonts w:ascii="Invesco Interstate Light" w:eastAsiaTheme="minorEastAsia" w:hAnsi="Invesco Interstate Light"/>
          <w:sz w:val="22"/>
          <w:szCs w:val="22"/>
        </w:rPr>
        <w:t xml:space="preserve"> než očekávaná ekonomická data by mohla zejména zhatit jakoukoli rally s malými kapitalizacemi nebo cyklickou rally.</w:t>
      </w:r>
    </w:p>
    <w:p w14:paraId="05C9870B" w14:textId="72CFE510" w:rsidR="00251567" w:rsidRPr="00764D95" w:rsidRDefault="00251567" w:rsidP="00764D95">
      <w:pPr>
        <w:spacing w:line="360" w:lineRule="auto"/>
        <w:jc w:val="both"/>
        <w:rPr>
          <w:rFonts w:ascii="Invesco Interstate Light" w:eastAsiaTheme="minorEastAsia" w:hAnsi="Invesco Interstate Light"/>
          <w:sz w:val="22"/>
          <w:szCs w:val="22"/>
        </w:rPr>
      </w:pPr>
    </w:p>
    <w:p w14:paraId="170A4931" w14:textId="77777777" w:rsidR="00036240" w:rsidRDefault="00036240" w:rsidP="00651AAE">
      <w:pPr>
        <w:autoSpaceDE w:val="0"/>
        <w:autoSpaceDN w:val="0"/>
        <w:adjustRightInd w:val="0"/>
        <w:spacing w:line="240" w:lineRule="auto"/>
        <w:rPr>
          <w:rFonts w:ascii="Invesco Interstate Light" w:hAnsi="Invesco Interstate Light"/>
        </w:rPr>
      </w:pPr>
    </w:p>
    <w:p w14:paraId="00A6941A"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18C5EDF"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5120580B"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60DE8AD4"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5480CDAB"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5EED1D"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10BB632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7FD6AA8C"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959BA9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25804E7"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5C0E7C8"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0488EA02"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385F61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153DAB8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9E9A969"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141525C5"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0A56BD87"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CB198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0422BA16"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3499A89"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79BA4A9D"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7ACD68DC"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53CBBA1"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75F6E521" w14:textId="77777777" w:rsidR="00861B48" w:rsidRPr="00861B48" w:rsidRDefault="00861B48" w:rsidP="00861B48">
      <w:pPr>
        <w:spacing w:line="240" w:lineRule="auto"/>
        <w:rPr>
          <w:rFonts w:ascii="Invesco Interstate Light" w:hAnsi="Invesco Interstate Light"/>
          <w:b/>
          <w:sz w:val="22"/>
          <w:szCs w:val="22"/>
          <w:u w:val="single"/>
        </w:rPr>
      </w:pPr>
    </w:p>
    <w:p w14:paraId="1BC1146F"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59399A19"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11D99EA1" w14:textId="77777777" w:rsidR="002355DD" w:rsidRPr="00873CBF" w:rsidRDefault="002355DD" w:rsidP="002355DD">
      <w:pPr>
        <w:spacing w:line="240" w:lineRule="exact"/>
        <w:rPr>
          <w:rFonts w:ascii="Invesco Interstate Light" w:hAnsi="Invesco Interstate Light"/>
          <w:sz w:val="22"/>
          <w:szCs w:val="22"/>
        </w:rPr>
      </w:pPr>
    </w:p>
    <w:p w14:paraId="64A74F64"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019DA56B"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17DFB78A"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7C90EF6A"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5C97B" w14:textId="77777777" w:rsidR="00212D01" w:rsidRDefault="00212D01">
      <w:r>
        <w:separator/>
      </w:r>
    </w:p>
  </w:endnote>
  <w:endnote w:type="continuationSeparator" w:id="0">
    <w:p w14:paraId="44F96F63" w14:textId="77777777" w:rsidR="00212D01" w:rsidRDefault="00212D01">
      <w:r>
        <w:continuationSeparator/>
      </w:r>
    </w:p>
  </w:endnote>
  <w:endnote w:type="continuationNotice" w:id="1">
    <w:p w14:paraId="31C59613" w14:textId="77777777" w:rsidR="00212D01" w:rsidRDefault="00212D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BE8F0" w14:textId="77777777" w:rsidR="00212D01" w:rsidRDefault="00212D01">
      <w:r>
        <w:separator/>
      </w:r>
    </w:p>
  </w:footnote>
  <w:footnote w:type="continuationSeparator" w:id="0">
    <w:p w14:paraId="75593167" w14:textId="77777777" w:rsidR="00212D01" w:rsidRDefault="00212D01">
      <w:r>
        <w:continuationSeparator/>
      </w:r>
    </w:p>
  </w:footnote>
  <w:footnote w:type="continuationNotice" w:id="1">
    <w:p w14:paraId="3530AA94" w14:textId="77777777" w:rsidR="00212D01" w:rsidRDefault="00212D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5474"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F5955D1" wp14:editId="313E0CC4">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4A69E645"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5BB3AFEB" w14:textId="63558101" w:rsidR="00702C33" w:rsidRPr="000730A6" w:rsidRDefault="00C52C28" w:rsidP="0083625E">
    <w:pPr>
      <w:pStyle w:val="Zhlav"/>
      <w:pBdr>
        <w:top w:val="single" w:sz="4" w:space="3" w:color="auto"/>
      </w:pBdr>
      <w:spacing w:line="298" w:lineRule="exact"/>
      <w:ind w:left="3402"/>
      <w:jc w:val="right"/>
      <w:rPr>
        <w:color w:val="000000"/>
        <w:sz w:val="28"/>
        <w:szCs w:val="28"/>
      </w:rPr>
    </w:pPr>
    <w:r>
      <w:rPr>
        <w:color w:val="000000"/>
        <w:sz w:val="28"/>
        <w:szCs w:val="28"/>
      </w:rPr>
      <w:t>29</w:t>
    </w:r>
    <w:r w:rsidR="0083625E">
      <w:rPr>
        <w:color w:val="000000"/>
        <w:sz w:val="28"/>
        <w:szCs w:val="28"/>
      </w:rPr>
      <w:t>.</w:t>
    </w:r>
    <w:r w:rsidR="00EE0A7C">
      <w:rPr>
        <w:color w:val="000000"/>
        <w:sz w:val="28"/>
        <w:szCs w:val="28"/>
      </w:rPr>
      <w:t>8</w:t>
    </w:r>
    <w:r w:rsidR="0083625E">
      <w:rPr>
        <w:color w:val="000000"/>
        <w:sz w:val="28"/>
        <w:szCs w:val="28"/>
      </w:rPr>
      <w:t>.202</w:t>
    </w:r>
    <w:r w:rsidR="00FE0021">
      <w:rPr>
        <w:color w:val="000000"/>
        <w:sz w:val="28"/>
        <w:szCs w:val="28"/>
      </w:rPr>
      <w:t>4</w:t>
    </w:r>
  </w:p>
  <w:p w14:paraId="1770B5D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59FBFEE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36E8D94"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33A404E"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630B23"/>
    <w:multiLevelType w:val="multilevel"/>
    <w:tmpl w:val="11820CCE"/>
    <w:numStyleLink w:val="FormatvorlageAufgezhlt"/>
  </w:abstractNum>
  <w:abstractNum w:abstractNumId="23"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D403C3"/>
    <w:multiLevelType w:val="multilevel"/>
    <w:tmpl w:val="11820CCE"/>
    <w:numStyleLink w:val="FormatvorlageAufgezhlt"/>
  </w:abstractNum>
  <w:abstractNum w:abstractNumId="33" w15:restartNumberingAfterBreak="0">
    <w:nsid w:val="6C6C4721"/>
    <w:multiLevelType w:val="multilevel"/>
    <w:tmpl w:val="11820CCE"/>
    <w:numStyleLink w:val="FormatvorlageAufgezhlt"/>
  </w:abstractNum>
  <w:abstractNum w:abstractNumId="3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5380B"/>
    <w:multiLevelType w:val="multilevel"/>
    <w:tmpl w:val="11820CCE"/>
    <w:numStyleLink w:val="FormatvorlageAufgezhlt"/>
  </w:abstractNum>
  <w:abstractNum w:abstractNumId="37"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702448">
    <w:abstractNumId w:val="0"/>
  </w:num>
  <w:num w:numId="2" w16cid:durableId="719785210">
    <w:abstractNumId w:val="16"/>
  </w:num>
  <w:num w:numId="3" w16cid:durableId="1651596066">
    <w:abstractNumId w:val="28"/>
  </w:num>
  <w:num w:numId="4" w16cid:durableId="1757242756">
    <w:abstractNumId w:val="18"/>
  </w:num>
  <w:num w:numId="5" w16cid:durableId="1410537838">
    <w:abstractNumId w:val="22"/>
  </w:num>
  <w:num w:numId="6" w16cid:durableId="1083454688">
    <w:abstractNumId w:val="32"/>
  </w:num>
  <w:num w:numId="7" w16cid:durableId="1741825010">
    <w:abstractNumId w:val="33"/>
  </w:num>
  <w:num w:numId="8" w16cid:durableId="213277949">
    <w:abstractNumId w:val="1"/>
  </w:num>
  <w:num w:numId="9" w16cid:durableId="144981880">
    <w:abstractNumId w:val="36"/>
  </w:num>
  <w:num w:numId="10" w16cid:durableId="381559511">
    <w:abstractNumId w:val="14"/>
  </w:num>
  <w:num w:numId="11" w16cid:durableId="1550386119">
    <w:abstractNumId w:val="4"/>
  </w:num>
  <w:num w:numId="12" w16cid:durableId="1718968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079294">
    <w:abstractNumId w:val="41"/>
  </w:num>
  <w:num w:numId="14" w16cid:durableId="905724805">
    <w:abstractNumId w:val="42"/>
  </w:num>
  <w:num w:numId="15" w16cid:durableId="1799765080">
    <w:abstractNumId w:val="27"/>
  </w:num>
  <w:num w:numId="16" w16cid:durableId="129981702">
    <w:abstractNumId w:val="7"/>
  </w:num>
  <w:num w:numId="17" w16cid:durableId="344093924">
    <w:abstractNumId w:val="2"/>
  </w:num>
  <w:num w:numId="18" w16cid:durableId="836262855">
    <w:abstractNumId w:val="31"/>
  </w:num>
  <w:num w:numId="19" w16cid:durableId="1623655340">
    <w:abstractNumId w:val="34"/>
  </w:num>
  <w:num w:numId="20" w16cid:durableId="162815365">
    <w:abstractNumId w:val="39"/>
  </w:num>
  <w:num w:numId="21" w16cid:durableId="1319698521">
    <w:abstractNumId w:val="38"/>
  </w:num>
  <w:num w:numId="22" w16cid:durableId="160704017">
    <w:abstractNumId w:val="13"/>
  </w:num>
  <w:num w:numId="23" w16cid:durableId="399912388">
    <w:abstractNumId w:val="26"/>
  </w:num>
  <w:num w:numId="24" w16cid:durableId="1673994114">
    <w:abstractNumId w:val="20"/>
  </w:num>
  <w:num w:numId="25" w16cid:durableId="377514569">
    <w:abstractNumId w:val="40"/>
  </w:num>
  <w:num w:numId="26" w16cid:durableId="1258519076">
    <w:abstractNumId w:val="25"/>
  </w:num>
  <w:num w:numId="27" w16cid:durableId="450519464">
    <w:abstractNumId w:val="3"/>
  </w:num>
  <w:num w:numId="28" w16cid:durableId="1879389585">
    <w:abstractNumId w:val="6"/>
  </w:num>
  <w:num w:numId="29" w16cid:durableId="1925601886">
    <w:abstractNumId w:val="37"/>
  </w:num>
  <w:num w:numId="30" w16cid:durableId="911544297">
    <w:abstractNumId w:val="23"/>
  </w:num>
  <w:num w:numId="31" w16cid:durableId="115491377">
    <w:abstractNumId w:val="24"/>
  </w:num>
  <w:num w:numId="32" w16cid:durableId="1010260102">
    <w:abstractNumId w:val="8"/>
  </w:num>
  <w:num w:numId="33" w16cid:durableId="2039817741">
    <w:abstractNumId w:val="35"/>
  </w:num>
  <w:num w:numId="34" w16cid:durableId="172575044">
    <w:abstractNumId w:val="17"/>
  </w:num>
  <w:num w:numId="35" w16cid:durableId="2069184999">
    <w:abstractNumId w:val="11"/>
  </w:num>
  <w:num w:numId="36" w16cid:durableId="190925979">
    <w:abstractNumId w:val="10"/>
  </w:num>
  <w:num w:numId="37" w16cid:durableId="443891569">
    <w:abstractNumId w:val="15"/>
  </w:num>
  <w:num w:numId="38" w16cid:durableId="2078673578">
    <w:abstractNumId w:val="19"/>
  </w:num>
  <w:num w:numId="39" w16cid:durableId="341707414">
    <w:abstractNumId w:val="5"/>
  </w:num>
  <w:num w:numId="40" w16cid:durableId="1881285507">
    <w:abstractNumId w:val="29"/>
  </w:num>
  <w:num w:numId="41" w16cid:durableId="1638220600">
    <w:abstractNumId w:val="21"/>
  </w:num>
  <w:num w:numId="42" w16cid:durableId="1121148711">
    <w:abstractNumId w:val="12"/>
  </w:num>
  <w:num w:numId="43" w16cid:durableId="2676609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67BE6"/>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2D01"/>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67"/>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BD3"/>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27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1E2E"/>
    <w:rsid w:val="0059275D"/>
    <w:rsid w:val="00592B5E"/>
    <w:rsid w:val="005939A2"/>
    <w:rsid w:val="005943E7"/>
    <w:rsid w:val="00594EC0"/>
    <w:rsid w:val="005950FB"/>
    <w:rsid w:val="005953F6"/>
    <w:rsid w:val="00595587"/>
    <w:rsid w:val="00596DBD"/>
    <w:rsid w:val="00597D8B"/>
    <w:rsid w:val="005A026D"/>
    <w:rsid w:val="005A1D49"/>
    <w:rsid w:val="005A2264"/>
    <w:rsid w:val="005A23E6"/>
    <w:rsid w:val="005A31BF"/>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478"/>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6849"/>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4D95"/>
    <w:rsid w:val="00765494"/>
    <w:rsid w:val="007655B3"/>
    <w:rsid w:val="00765803"/>
    <w:rsid w:val="00765A3C"/>
    <w:rsid w:val="00765B5E"/>
    <w:rsid w:val="00765BFB"/>
    <w:rsid w:val="00765C4F"/>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324"/>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6D6"/>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39CB"/>
    <w:rsid w:val="0092493D"/>
    <w:rsid w:val="009251AB"/>
    <w:rsid w:val="009256BA"/>
    <w:rsid w:val="00925812"/>
    <w:rsid w:val="00925E35"/>
    <w:rsid w:val="0092629E"/>
    <w:rsid w:val="0092679E"/>
    <w:rsid w:val="00926B93"/>
    <w:rsid w:val="00927294"/>
    <w:rsid w:val="0092729C"/>
    <w:rsid w:val="00927665"/>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2C28"/>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230"/>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A7C"/>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8BE"/>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546C4"/>
  <w15:docId w15:val="{7EC300BC-C776-41B9-A7D9-C232CFEF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5299</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2024-08-29T08:09:00Z</dcterms:created>
  <dcterms:modified xsi:type="dcterms:W3CDTF">2024-08-29T08:09:00Z</dcterms:modified>
</cp:coreProperties>
</file>