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223A3" w:rsidRDefault="007223A3"/>
    <w:p w14:paraId="00000002" w14:textId="5E68C122" w:rsidR="007223A3" w:rsidRDefault="003309A3">
      <w:pPr>
        <w:pStyle w:val="Nadpis1"/>
      </w:pPr>
      <w:r w:rsidRPr="003309A3">
        <w:t>Pojištění schopnosti splácet přináší jistotu v nejisté době, všespasitelné ale není</w:t>
      </w:r>
    </w:p>
    <w:p w14:paraId="7FBD3505" w14:textId="794E2388" w:rsidR="004B45F5" w:rsidRDefault="00000000" w:rsidP="004B45F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Praha </w:t>
      </w:r>
      <w:r w:rsidR="004D7628">
        <w:rPr>
          <w:b/>
          <w:color w:val="000000"/>
        </w:rPr>
        <w:t>14</w:t>
      </w:r>
      <w:r>
        <w:rPr>
          <w:b/>
          <w:color w:val="000000"/>
        </w:rPr>
        <w:t xml:space="preserve">. </w:t>
      </w:r>
      <w:r w:rsidR="002E7751">
        <w:rPr>
          <w:b/>
          <w:color w:val="000000"/>
        </w:rPr>
        <w:t>března</w:t>
      </w:r>
      <w:r>
        <w:rPr>
          <w:b/>
          <w:color w:val="000000"/>
        </w:rPr>
        <w:t xml:space="preserve"> 2024</w:t>
      </w:r>
      <w:r w:rsidR="00923895">
        <w:rPr>
          <w:b/>
          <w:color w:val="000000"/>
        </w:rPr>
        <w:t xml:space="preserve"> –</w:t>
      </w:r>
      <w:r w:rsidR="003C5558">
        <w:rPr>
          <w:b/>
          <w:color w:val="000000"/>
        </w:rPr>
        <w:t xml:space="preserve"> </w:t>
      </w:r>
      <w:r w:rsidR="00306C95" w:rsidRPr="00306C95">
        <w:rPr>
          <w:b/>
          <w:color w:val="000000"/>
        </w:rPr>
        <w:t>Život je plný nejistoty, a ztráta schopnosti pracovat kvůli nemoci nebo úrazu může hned záhy znamenat i výrazný pokles nebo dokonce ztrátu pravidelného příjmu. Pojištění schopnosti splácet je produktem, který dokáže tuhle díru v domácím rozpočtu zacelit</w:t>
      </w:r>
      <w:r w:rsidR="00C903EC">
        <w:rPr>
          <w:b/>
          <w:color w:val="000000"/>
        </w:rPr>
        <w:t xml:space="preserve"> – p</w:t>
      </w:r>
      <w:r w:rsidR="00306C95" w:rsidRPr="00306C95">
        <w:rPr>
          <w:b/>
          <w:color w:val="000000"/>
        </w:rPr>
        <w:t xml:space="preserve">roto jej mají ve své nabídce </w:t>
      </w:r>
      <w:r w:rsidR="004B45F5" w:rsidRPr="004B45F5">
        <w:rPr>
          <w:b/>
          <w:color w:val="000000"/>
        </w:rPr>
        <w:t xml:space="preserve">tuzemské pojišťovny, které </w:t>
      </w:r>
      <w:r w:rsidR="004B45F5">
        <w:rPr>
          <w:b/>
          <w:color w:val="000000"/>
        </w:rPr>
        <w:t xml:space="preserve">je </w:t>
      </w:r>
      <w:r w:rsidR="004B45F5" w:rsidRPr="004B45F5">
        <w:rPr>
          <w:b/>
          <w:color w:val="000000"/>
        </w:rPr>
        <w:t>ve spolupráci s bankami nabízejí třeba na splátky hypotéky nebo půjčky.</w:t>
      </w:r>
    </w:p>
    <w:p w14:paraId="635D6CAA" w14:textId="02513079" w:rsidR="00547211" w:rsidRDefault="00547211" w:rsidP="004B45F5">
      <w:pPr>
        <w:pBdr>
          <w:top w:val="nil"/>
          <w:left w:val="nil"/>
          <w:bottom w:val="nil"/>
          <w:right w:val="nil"/>
          <w:between w:val="nil"/>
        </w:pBdr>
      </w:pPr>
      <w:r w:rsidRPr="00547211">
        <w:t>Že právě řešíte s bankou hypotéku? Pak po vás s vysokou pravděpodobností bude chtít sjednat pojištění schopnosti splácet. Jeho pojistné vás sice také bude něco stát, ale pokud si pojištění uzavřete, můžete za to získat nižší úrokovou sazbu u hypotéky. A hlavně, pokud byste se kvůli ztrátě příjmu při rekonvalescenci po úrazu nebo po dobu dlouhodobé nemoci dostali do finanční tísně, pojišťovna, která spolupracuje s vaší bankou, bude splátky hypotéky platit za vás.</w:t>
      </w:r>
    </w:p>
    <w:p w14:paraId="09EA9D1C" w14:textId="12C5D4B6" w:rsidR="00547211" w:rsidRDefault="00547211" w:rsidP="00427961">
      <w:r w:rsidRPr="00547211">
        <w:rPr>
          <w:i/>
          <w:iCs/>
        </w:rPr>
        <w:t>„Pojištění schopnosti splácet je balíček pojištění pro případ, kdy</w:t>
      </w:r>
      <w:r w:rsidR="00D5584F">
        <w:rPr>
          <w:i/>
          <w:iCs/>
        </w:rPr>
        <w:t xml:space="preserve"> </w:t>
      </w:r>
      <w:r w:rsidRPr="00547211">
        <w:rPr>
          <w:i/>
          <w:iCs/>
        </w:rPr>
        <w:t>by klient nebyl schopen platit svoji hypotéku</w:t>
      </w:r>
      <w:r w:rsidR="00D5584F">
        <w:rPr>
          <w:i/>
          <w:iCs/>
        </w:rPr>
        <w:t>.</w:t>
      </w:r>
      <w:r w:rsidRPr="00547211">
        <w:rPr>
          <w:i/>
          <w:iCs/>
        </w:rPr>
        <w:t xml:space="preserve"> </w:t>
      </w:r>
      <w:r w:rsidR="00D5584F">
        <w:rPr>
          <w:i/>
          <w:iCs/>
        </w:rPr>
        <w:t>A</w:t>
      </w:r>
      <w:r w:rsidRPr="00547211">
        <w:rPr>
          <w:i/>
          <w:iCs/>
        </w:rPr>
        <w:t>ť už proto, že se dostane do pracovní neschopnosti, ztratí zaměstnání, je</w:t>
      </w:r>
      <w:r w:rsidR="000213B4">
        <w:rPr>
          <w:i/>
          <w:iCs/>
        </w:rPr>
        <w:t> </w:t>
      </w:r>
      <w:r w:rsidRPr="00547211">
        <w:rPr>
          <w:i/>
          <w:iCs/>
        </w:rPr>
        <w:t>v</w:t>
      </w:r>
      <w:r w:rsidR="00D5584F">
        <w:rPr>
          <w:i/>
          <w:iCs/>
        </w:rPr>
        <w:t> </w:t>
      </w:r>
      <w:r w:rsidRPr="00547211">
        <w:rPr>
          <w:i/>
          <w:iCs/>
        </w:rPr>
        <w:t xml:space="preserve">nemocnici, trvale invalidní nebo dokonce zemře. </w:t>
      </w:r>
      <w:r w:rsidR="00C66893" w:rsidRPr="00C66893">
        <w:rPr>
          <w:i/>
          <w:iCs/>
        </w:rPr>
        <w:t>Banka si tak kryje své riziko, protože pojistné plnění jde ve většině případů rovnou jí na splacení úvěru. Existují už ale i výjimky, kdy pojišťovny pošlou peníze klientům a je už jenom na nich, jak s finančními prostředky naloží</w:t>
      </w:r>
      <w:r w:rsidRPr="00547211">
        <w:rPr>
          <w:i/>
          <w:iCs/>
        </w:rPr>
        <w:t>,“</w:t>
      </w:r>
      <w:r w:rsidRPr="00547211">
        <w:t xml:space="preserve"> vysvětluje </w:t>
      </w:r>
      <w:r w:rsidR="00D5584F">
        <w:t>Petr Motáček</w:t>
      </w:r>
      <w:r w:rsidR="00F61227">
        <w:t>, specialista na pojištění</w:t>
      </w:r>
      <w:r w:rsidRPr="00547211">
        <w:t xml:space="preserve"> ze společnosti FinGO.</w:t>
      </w:r>
    </w:p>
    <w:p w14:paraId="68121734" w14:textId="5F87959A" w:rsidR="00547211" w:rsidRDefault="00547211" w:rsidP="00427961">
      <w:r w:rsidRPr="00547211">
        <w:t xml:space="preserve">Vzhledem k tomu, že hypotéku uzavírají lidé i na desítky let, je poměrně pravděpodobné, že se dlužník během té doby může stát dlouhodobě práce neschopným, závažně onemocní nebo ztratí zaměstnání. </w:t>
      </w:r>
      <w:r w:rsidRPr="00547211">
        <w:rPr>
          <w:i/>
          <w:iCs/>
        </w:rPr>
        <w:t>„Pokud jde o posledn</w:t>
      </w:r>
      <w:r w:rsidR="0009437F">
        <w:rPr>
          <w:i/>
          <w:iCs/>
        </w:rPr>
        <w:t>í</w:t>
      </w:r>
      <w:r w:rsidRPr="00547211">
        <w:rPr>
          <w:i/>
          <w:iCs/>
        </w:rPr>
        <w:t xml:space="preserve"> jmenované riziko, je potřeba se podívat do pojistných podmínek. U rizika ztráty zaměstnání bývá přesně uvedeno, z jakého důvodu ke ztrátě může dojít a je tam vyjmenována i řada výjimek a také lhůt, po které za</w:t>
      </w:r>
      <w:r w:rsidR="000213B4">
        <w:rPr>
          <w:i/>
          <w:iCs/>
        </w:rPr>
        <w:t> </w:t>
      </w:r>
      <w:r w:rsidRPr="00547211">
        <w:rPr>
          <w:i/>
          <w:iCs/>
        </w:rPr>
        <w:t>dlužníka hradí splátky pojišťovna. Po uplynutí této lhůty je na řadě se splácením znovu dlužník, a to bez ohledu na to, zda už novou práci má, nebo ne. Podobné je to i u rizika pracovní neschopnosti, kde zase klient musí splnit, a hlavně s vlastními financemi „přežít“ karenční dobu, po kterou mu pojišťovna plnit nebude,“</w:t>
      </w:r>
      <w:r w:rsidRPr="00547211">
        <w:t xml:space="preserve"> dodává </w:t>
      </w:r>
      <w:r w:rsidR="00D5584F">
        <w:t>Petr Motáček</w:t>
      </w:r>
      <w:r w:rsidRPr="00547211">
        <w:t xml:space="preserve"> ze společnosti FinGO.</w:t>
      </w:r>
    </w:p>
    <w:p w14:paraId="1CDA4877" w14:textId="05FA24A0" w:rsidR="00547211" w:rsidRDefault="00547211" w:rsidP="00427961">
      <w:pPr>
        <w:rPr>
          <w:b/>
          <w:bCs/>
        </w:rPr>
      </w:pPr>
      <w:r w:rsidRPr="00547211">
        <w:rPr>
          <w:b/>
          <w:bCs/>
        </w:rPr>
        <w:t>Banky nabízejí pojištění k hypotékám jako balíčky</w:t>
      </w:r>
    </w:p>
    <w:p w14:paraId="4D38A424" w14:textId="77777777" w:rsidR="00B959CA" w:rsidRDefault="00547211" w:rsidP="00427961">
      <w:r w:rsidRPr="00547211">
        <w:t>Každá pojišťovna má pojištění pro danou banku připravené jinak a většinou nabízí i více variant pojistných balíčků. Pojištění smrti je většinou nastavené s klesající pojistnou částkou, které pokrývá zůstatek nesplaceného úvěru. Pokud jde o riziko invalidity, tak to mají pojišťovny zahrnuto obvykle až u 3. stupně, sporadicky i u 2. stupně invalidity a opět je pojistná částka určena pouze na splacení zbývající části úvěru, jen výjimečně je tomu jinak.</w:t>
      </w:r>
    </w:p>
    <w:p w14:paraId="254B3450" w14:textId="165BB2D6" w:rsidR="008D2043" w:rsidRDefault="00547211" w:rsidP="00427961">
      <w:r w:rsidRPr="00547211">
        <w:lastRenderedPageBreak/>
        <w:t>Dále zde můžete najít rizika pracovní neschopnosti nebo ztráty zaměstnání, kde je plnění poskytováno až po uplynutí karenční doby, jak již bylo řečeno. Také pojistné plnění za</w:t>
      </w:r>
      <w:r w:rsidR="000213B4">
        <w:t> </w:t>
      </w:r>
      <w:r w:rsidRPr="00547211">
        <w:t>ztrátu zaměstnání není poskytnuto vždy, ale jen když je klient propuštěn z důvodu nadbytečnosti nebo pokud zaměstnavatel přemísťuje či ruší výrobu, z důvodů organizačních, konkurzu či likvidace zaměstnavatele</w:t>
      </w:r>
      <w:r w:rsidR="00B959CA">
        <w:t xml:space="preserve"> –</w:t>
      </w:r>
      <w:r w:rsidRPr="00547211">
        <w:t xml:space="preserve"> přesně podle znění pojistných podmínek, které se mohou lišit.</w:t>
      </w:r>
    </w:p>
    <w:p w14:paraId="258EC68E" w14:textId="693A4D3F" w:rsidR="00547211" w:rsidRDefault="00547211" w:rsidP="00427961">
      <w:r w:rsidRPr="00547211">
        <w:t>Dalším rizikem, které mají některé pojišťovny v nabídce, jsou vyjmenované diagnózy závažných onemocnění, ale pokud toto riziko pojišťovny mají, tak uhradí pouze několik málo úvěrových splátek. V neposlední řadě je možné ještě v nabídkách najít i ošetřování člena</w:t>
      </w:r>
      <w:r w:rsidR="008D2043">
        <w:t xml:space="preserve"> rodiny</w:t>
      </w:r>
      <w:r w:rsidRPr="00547211">
        <w:t>, hospitalizaci nebo také pojištění pohledávek.</w:t>
      </w:r>
    </w:p>
    <w:p w14:paraId="21F62335" w14:textId="4BB31416" w:rsidR="00547211" w:rsidRDefault="00547211" w:rsidP="00427961">
      <w:pPr>
        <w:rPr>
          <w:b/>
          <w:bCs/>
        </w:rPr>
      </w:pPr>
      <w:r w:rsidRPr="00547211">
        <w:rPr>
          <w:b/>
          <w:bCs/>
        </w:rPr>
        <w:t>Nabídka největších bank má mnoho variant</w:t>
      </w:r>
      <w:r>
        <w:rPr>
          <w:b/>
          <w:bCs/>
        </w:rPr>
        <w:t>:</w:t>
      </w:r>
    </w:p>
    <w:p w14:paraId="5BB945C0" w14:textId="7A503D79" w:rsidR="00547211" w:rsidRPr="00547211" w:rsidRDefault="00000000" w:rsidP="00547211">
      <w:pPr>
        <w:rPr>
          <w:b/>
          <w:bCs/>
        </w:rPr>
      </w:pPr>
      <w:hyperlink r:id="rId7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Komerční banka</w:t>
        </w:r>
      </w:hyperlink>
      <w:r w:rsidR="00547211" w:rsidRPr="00775B07">
        <w:rPr>
          <w:b/>
          <w:bCs/>
          <w:color w:val="E36C0A" w:themeColor="accent6" w:themeShade="BF"/>
        </w:rPr>
        <w:t xml:space="preserve"> </w:t>
      </w:r>
      <w:r w:rsidR="00547211" w:rsidRPr="00547211">
        <w:rPr>
          <w:b/>
          <w:bCs/>
        </w:rPr>
        <w:t xml:space="preserve">ve spolupráci s </w:t>
      </w:r>
      <w:hyperlink r:id="rId8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Komerční pojišťovnou</w:t>
        </w:r>
      </w:hyperlink>
      <w:r w:rsidR="00547211" w:rsidRPr="00547211">
        <w:rPr>
          <w:b/>
          <w:bCs/>
        </w:rPr>
        <w:t xml:space="preserve"> </w:t>
      </w:r>
    </w:p>
    <w:p w14:paraId="18EEE41C" w14:textId="59A55EC5" w:rsidR="00547211" w:rsidRDefault="00547211" w:rsidP="00547211">
      <w:r>
        <w:t>V nabídce jsou tři varianty pojištění</w:t>
      </w:r>
      <w:r w:rsidR="00974166">
        <w:t>:</w:t>
      </w:r>
      <w:r>
        <w:t xml:space="preserve"> první je pro případ smrti pojištěného a invalidity 3.</w:t>
      </w:r>
      <w:r w:rsidR="000213B4">
        <w:t> </w:t>
      </w:r>
      <w:r>
        <w:t>stupně, ve druhé variantě je k těmto dvěma rizikům navíc ještě pracovní neschopnost a</w:t>
      </w:r>
      <w:r w:rsidR="000213B4">
        <w:t> </w:t>
      </w:r>
      <w:r>
        <w:t>v</w:t>
      </w:r>
      <w:r w:rsidR="001C0771">
        <w:t> </w:t>
      </w:r>
      <w:r>
        <w:t>poslední variantě je doplněna ztráta zaměstnání</w:t>
      </w:r>
      <w:r w:rsidR="00BA4215">
        <w:t>.</w:t>
      </w:r>
    </w:p>
    <w:p w14:paraId="695CBD69" w14:textId="6D7B3D62" w:rsidR="00547211" w:rsidRPr="00547211" w:rsidRDefault="00000000" w:rsidP="00547211">
      <w:pPr>
        <w:rPr>
          <w:b/>
          <w:bCs/>
        </w:rPr>
      </w:pPr>
      <w:hyperlink r:id="rId9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Česká spořitelna</w:t>
        </w:r>
      </w:hyperlink>
      <w:r w:rsidR="00547211" w:rsidRPr="00547211">
        <w:rPr>
          <w:b/>
          <w:bCs/>
        </w:rPr>
        <w:t xml:space="preserve"> ve spolupráci s </w:t>
      </w:r>
      <w:hyperlink r:id="rId10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Kooperativa pojišťovnou</w:t>
        </w:r>
      </w:hyperlink>
    </w:p>
    <w:p w14:paraId="25DB4175" w14:textId="77777777" w:rsidR="00547211" w:rsidRDefault="00547211" w:rsidP="00547211">
      <w:r>
        <w:t>V balíčcích Standard nebo Standard 50 % je zahrnuto pojištění pro případ smrti, invalidity 2. a 3. stupně a pracovní neschopnosti.</w:t>
      </w:r>
    </w:p>
    <w:p w14:paraId="676AF6F3" w14:textId="147E4598" w:rsidR="00547211" w:rsidRDefault="00547211" w:rsidP="00547211">
      <w:r>
        <w:t xml:space="preserve">V balíčcích Plus nebo Plus 50 % je pojištění pro případ smrti, invalidity 2. a 3. stupně, pracovní neschopnosti, ztráty zaměstnání </w:t>
      </w:r>
      <w:r w:rsidR="00121947">
        <w:t xml:space="preserve">nebo zrušení živnosti </w:t>
      </w:r>
      <w:r>
        <w:t>a ošetřování člena rodiny.</w:t>
      </w:r>
    </w:p>
    <w:p w14:paraId="0562271F" w14:textId="6C1D7523" w:rsidR="00547211" w:rsidRDefault="00547211" w:rsidP="00547211">
      <w:r>
        <w:t>Varianty 50 % kryjí pouze 50 % zůstat</w:t>
      </w:r>
      <w:r w:rsidR="001C0771">
        <w:t>ku</w:t>
      </w:r>
      <w:r>
        <w:t xml:space="preserve"> úvěru a lze je sjednat pro úvěry na</w:t>
      </w:r>
      <w:r w:rsidR="00730867">
        <w:t>d</w:t>
      </w:r>
      <w:r>
        <w:t xml:space="preserve"> 4 mil. Kč. U</w:t>
      </w:r>
      <w:r w:rsidR="000213B4">
        <w:t> </w:t>
      </w:r>
      <w:r>
        <w:t>pojištění smrti se zaplatí nesplacená část úvěru a až 1 mil. Kč může jít pozůstalým.</w:t>
      </w:r>
    </w:p>
    <w:p w14:paraId="4D0063C8" w14:textId="6DC151AA" w:rsidR="00547211" w:rsidRPr="00547211" w:rsidRDefault="00000000" w:rsidP="00547211">
      <w:pPr>
        <w:rPr>
          <w:b/>
          <w:bCs/>
        </w:rPr>
      </w:pPr>
      <w:hyperlink r:id="rId11" w:history="1">
        <w:r w:rsidR="003D6FA0" w:rsidRPr="00775B07">
          <w:rPr>
            <w:rStyle w:val="Hypertextovodkaz"/>
            <w:b/>
            <w:bCs/>
            <w:color w:val="E36C0A" w:themeColor="accent6" w:themeShade="BF"/>
          </w:rPr>
          <w:t>ČSOB Hypoteční banka</w:t>
        </w:r>
      </w:hyperlink>
      <w:r w:rsidR="00547211" w:rsidRPr="00547211">
        <w:rPr>
          <w:b/>
          <w:bCs/>
        </w:rPr>
        <w:t xml:space="preserve"> ve spolupráci s </w:t>
      </w:r>
      <w:hyperlink r:id="rId12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ČSOB pojišťovnou</w:t>
        </w:r>
      </w:hyperlink>
    </w:p>
    <w:p w14:paraId="2300C60D" w14:textId="1C371836" w:rsidR="00547211" w:rsidRDefault="00547211" w:rsidP="00547211">
      <w:r>
        <w:t>Pojištění je nabízeno ve třech variantách. Varianta I zahrnuje pojištění pro případ smrti a</w:t>
      </w:r>
      <w:r w:rsidR="000213B4">
        <w:t> </w:t>
      </w:r>
      <w:r>
        <w:t>invalidity 3. stupně, ve variantě II je kromě těchto rizik navíc pracovní neschopnost a</w:t>
      </w:r>
      <w:r w:rsidR="000213B4">
        <w:t> </w:t>
      </w:r>
      <w:r>
        <w:t>varianta III je rozšířena ještě o riziko ztráty zaměstnání</w:t>
      </w:r>
      <w:r w:rsidR="000213B4">
        <w:t xml:space="preserve">, </w:t>
      </w:r>
      <w:r w:rsidR="000213B4" w:rsidRPr="000213B4">
        <w:t>skončení služebního poměru</w:t>
      </w:r>
      <w:r>
        <w:t xml:space="preserve"> a pojištění pohledávek. U</w:t>
      </w:r>
      <w:r w:rsidR="000213B4">
        <w:t> </w:t>
      </w:r>
      <w:r>
        <w:t>pojištění smrti a invalidity lze nastavit rozsah do 100 % z výše úvěru, kdy celé plnění jde bance, nebo do 150 % z výše úvěru, kdy</w:t>
      </w:r>
      <w:r w:rsidR="00CB6F30">
        <w:t xml:space="preserve"> částka nad 100 %</w:t>
      </w:r>
      <w:r>
        <w:t xml:space="preserve"> jde u</w:t>
      </w:r>
      <w:r w:rsidR="00CB6F30">
        <w:t> </w:t>
      </w:r>
      <w:r>
        <w:t>Invalidity pojištěnému, v případě smrti klienta obmyšlené osobě.</w:t>
      </w:r>
    </w:p>
    <w:p w14:paraId="6FBAA4C1" w14:textId="152957F2" w:rsidR="00547211" w:rsidRPr="00547211" w:rsidRDefault="00000000" w:rsidP="00547211">
      <w:pPr>
        <w:rPr>
          <w:b/>
          <w:bCs/>
        </w:rPr>
      </w:pPr>
      <w:hyperlink r:id="rId13" w:anchor="Hypoteky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UniCredit Bank</w:t>
        </w:r>
      </w:hyperlink>
      <w:r w:rsidR="00547211" w:rsidRPr="00775B07">
        <w:rPr>
          <w:b/>
          <w:bCs/>
          <w:color w:val="E36C0A" w:themeColor="accent6" w:themeShade="BF"/>
        </w:rPr>
        <w:t xml:space="preserve"> </w:t>
      </w:r>
      <w:r w:rsidR="00547211" w:rsidRPr="00547211">
        <w:rPr>
          <w:b/>
          <w:bCs/>
        </w:rPr>
        <w:t xml:space="preserve">ve spolupráci s </w:t>
      </w:r>
      <w:hyperlink r:id="rId14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Generali Českou pojišťovnou</w:t>
        </w:r>
      </w:hyperlink>
    </w:p>
    <w:p w14:paraId="664F7D9E" w14:textId="77777777" w:rsidR="00547211" w:rsidRDefault="00547211" w:rsidP="00547211">
      <w:r>
        <w:t>I v tomto pojištění si klienti mohou vybrat ze tří variant. Ve variantě Basic je pojištění pro případ smrti a invalidity 3. stupně, varianta Standard má navíc pracovní neschopnost a varianta Full je doplněna o ztrátu zaměstnání a závažná onemocnění.</w:t>
      </w:r>
    </w:p>
    <w:p w14:paraId="1292F9D5" w14:textId="2901A3FB" w:rsidR="00547211" w:rsidRPr="00547211" w:rsidRDefault="0005740B" w:rsidP="00547211">
      <w:pPr>
        <w:rPr>
          <w:b/>
          <w:bCs/>
        </w:rPr>
      </w:pPr>
      <w:r>
        <w:br w:type="column"/>
      </w:r>
      <w:hyperlink r:id="rId15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Moneta Money Bank</w:t>
        </w:r>
      </w:hyperlink>
      <w:r w:rsidR="00547211" w:rsidRPr="00775B07">
        <w:rPr>
          <w:b/>
          <w:bCs/>
          <w:color w:val="E36C0A" w:themeColor="accent6" w:themeShade="BF"/>
        </w:rPr>
        <w:t xml:space="preserve"> </w:t>
      </w:r>
      <w:r w:rsidR="00547211" w:rsidRPr="00547211">
        <w:rPr>
          <w:b/>
          <w:bCs/>
        </w:rPr>
        <w:t xml:space="preserve">ve spolupráci s </w:t>
      </w:r>
      <w:hyperlink r:id="rId16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Cardif pojišťovnou</w:t>
        </w:r>
      </w:hyperlink>
    </w:p>
    <w:p w14:paraId="2B871548" w14:textId="19783FB6" w:rsidR="00547211" w:rsidRDefault="00547211" w:rsidP="00547211">
      <w:r>
        <w:t xml:space="preserve">V tomto případě má pojištění dvě varianty Varianta 1 je pro jednu osobu a obsahuje pojištění pro případ smrti, invalidity 3. stupně, pracovní neschopnosti, ošetřování člena rodiny, ztráty zaměstnání </w:t>
      </w:r>
      <w:r w:rsidR="0005740B" w:rsidRPr="0005740B">
        <w:t xml:space="preserve">nebo zrušení živnosti </w:t>
      </w:r>
      <w:r>
        <w:t>a hospitalizace. Stejná rizika jsou obsažena i ve Variantě 2, která je pro dvě osoby.</w:t>
      </w:r>
    </w:p>
    <w:p w14:paraId="784827C5" w14:textId="3E8ECB9C" w:rsidR="00547211" w:rsidRPr="00547211" w:rsidRDefault="00000000" w:rsidP="00547211">
      <w:pPr>
        <w:rPr>
          <w:b/>
          <w:bCs/>
        </w:rPr>
      </w:pPr>
      <w:hyperlink r:id="rId17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Raiffeisenbank</w:t>
        </w:r>
      </w:hyperlink>
      <w:r w:rsidR="00547211" w:rsidRPr="00547211">
        <w:rPr>
          <w:b/>
          <w:bCs/>
        </w:rPr>
        <w:t xml:space="preserve"> ve spolupráci s </w:t>
      </w:r>
      <w:hyperlink r:id="rId18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UNIQA pojišťovnou</w:t>
        </w:r>
      </w:hyperlink>
    </w:p>
    <w:p w14:paraId="032AAEC0" w14:textId="77777777" w:rsidR="00547211" w:rsidRDefault="00547211" w:rsidP="00547211">
      <w:r>
        <w:t>K hypotéce je poskytováno pojištění pro případ smrti, invalidity 3. stupně, pracovní neschopnosti a ztráty zaměstnání.</w:t>
      </w:r>
    </w:p>
    <w:p w14:paraId="177EAABC" w14:textId="032D2E2E" w:rsidR="00547211" w:rsidRPr="00547211" w:rsidRDefault="00000000" w:rsidP="00547211">
      <w:pPr>
        <w:rPr>
          <w:b/>
          <w:bCs/>
        </w:rPr>
      </w:pPr>
      <w:hyperlink r:id="rId19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mBank</w:t>
        </w:r>
      </w:hyperlink>
      <w:r w:rsidR="00547211" w:rsidRPr="00547211">
        <w:rPr>
          <w:b/>
          <w:bCs/>
        </w:rPr>
        <w:t xml:space="preserve"> ve spolupráci s </w:t>
      </w:r>
      <w:hyperlink r:id="rId20" w:history="1">
        <w:r w:rsidR="00547211" w:rsidRPr="00775B07">
          <w:rPr>
            <w:rStyle w:val="Hypertextovodkaz"/>
            <w:b/>
            <w:bCs/>
            <w:color w:val="E36C0A" w:themeColor="accent6" w:themeShade="BF"/>
          </w:rPr>
          <w:t>MetLife pojišťovnou</w:t>
        </w:r>
      </w:hyperlink>
    </w:p>
    <w:p w14:paraId="02585736" w14:textId="71689D80" w:rsidR="00547211" w:rsidRDefault="00547211" w:rsidP="00547211">
      <w:r>
        <w:t>Pojištění schopnosti splácet zahrnuje riziko smrti a invalidity 3. stupně.</w:t>
      </w:r>
    </w:p>
    <w:p w14:paraId="50CB8DE8" w14:textId="77777777" w:rsidR="003D5F26" w:rsidRDefault="003D5F26" w:rsidP="00547211"/>
    <w:p w14:paraId="2379C029" w14:textId="0928333C" w:rsidR="003D5F26" w:rsidRPr="003D5F26" w:rsidRDefault="003D5F26" w:rsidP="003D5F26">
      <w:pPr>
        <w:rPr>
          <w:b/>
          <w:bCs/>
        </w:rPr>
      </w:pPr>
      <w:r w:rsidRPr="003D5F26">
        <w:rPr>
          <w:b/>
          <w:bCs/>
        </w:rPr>
        <w:t>Pozor na prohlášení o zdravotním stavu!</w:t>
      </w:r>
    </w:p>
    <w:p w14:paraId="10CD9D2B" w14:textId="0596741F" w:rsidR="003D5F26" w:rsidRDefault="003D5F26" w:rsidP="003D5F26">
      <w:r>
        <w:t xml:space="preserve">Největším benefitem pojištění je sleva na úrokové sazbě, kterou banky při sjednání balíčku nabízejí, a to od 0,1 % do 0,25 %.  </w:t>
      </w:r>
      <w:r w:rsidRPr="003D5F26">
        <w:rPr>
          <w:i/>
          <w:iCs/>
        </w:rPr>
        <w:t>„Benefitem může být i to, že do určité částky nemusí klient vyplňovat zdravotní dotazník a stačí jeho čestné prohlášení, že je zdráv. Velmi rychle se z této výhody ale může stát nevýhoda, protože pokud klient měl již dříve nějaký úraz či diagnózu a opomněl to uvést, tak mu v případě pojistné události může pojišťovna odmítnout pojistné plnění a smlouvu vypovědět. Zkoumání zdravotního stavu a pravdivé odpovědi ve zdravotním dotazníku jsou před uzavřením jakéhokoliv životního pojištění, a to i tohoto specifického balíčku k hypotékám, skutečně důležité,“</w:t>
      </w:r>
      <w:r>
        <w:t xml:space="preserve"> doplňuje </w:t>
      </w:r>
      <w:r w:rsidR="00D5584F">
        <w:t>Petr Motáček</w:t>
      </w:r>
      <w:r>
        <w:t xml:space="preserve"> ze společnosti FinGO.</w:t>
      </w:r>
    </w:p>
    <w:p w14:paraId="6C3ACB77" w14:textId="16D73733" w:rsidR="003D5F26" w:rsidRPr="003D5F26" w:rsidRDefault="003D5F26" w:rsidP="003D5F26">
      <w:pPr>
        <w:rPr>
          <w:b/>
          <w:bCs/>
        </w:rPr>
      </w:pPr>
      <w:r w:rsidRPr="003D5F26">
        <w:rPr>
          <w:b/>
          <w:bCs/>
        </w:rPr>
        <w:t>Pojištění schopnosti splácet přece jen něco stojí...</w:t>
      </w:r>
    </w:p>
    <w:p w14:paraId="269C7A6F" w14:textId="77777777" w:rsidR="003D5F26" w:rsidRDefault="003D5F26" w:rsidP="003D5F26">
      <w:r>
        <w:t>Platba pojištění se odvíjí od toho, zda je počítána z výše úvěrové splátky nebo z výše poskytnutého úvěru. Například Česká spořitelna ve spolupráci s Kooperativou to má nastavené procentem ze splátky.  U dvoumilionové hypotéky se platby pojistného budou pohybovat od 1044 Kč do 1195 Kč měsíčně podle varianty pojištění. Naopak třeba Komerční banka ve spolupráci s Komerční pojišťovnou to má nastavené procentem z poskytnuté výše úvěru. U stejně vysoké hypotéky budou měsíční platby od 500 Kč do 900 Kč podle typu pojištění.</w:t>
      </w:r>
    </w:p>
    <w:p w14:paraId="5C11C4DF" w14:textId="77777777" w:rsidR="003D5F26" w:rsidRDefault="003D5F26" w:rsidP="003D5F26">
      <w:r>
        <w:t>Balíček pojištění schopnosti splácet může být výhodný jen pro někoho. Patří mezi ně ti, kteří chtějí uplatnit slevu na úrokové sazbě nebo nemají rodinu a nepotřebují nikoho kromě sebe zajišťovat. Může být také vhodným doplňkem klasického životního pojištění.</w:t>
      </w:r>
    </w:p>
    <w:p w14:paraId="7E3F2368" w14:textId="2C0FE43C" w:rsidR="003D5F26" w:rsidRPr="003D5F26" w:rsidRDefault="003D5F26" w:rsidP="003D5F26">
      <w:pPr>
        <w:rPr>
          <w:b/>
          <w:bCs/>
        </w:rPr>
      </w:pPr>
      <w:r w:rsidRPr="003D5F26">
        <w:rPr>
          <w:b/>
          <w:bCs/>
        </w:rPr>
        <w:t>Životní pojištění zajistí i další náklady rodiny, nejen splátky hypotéky</w:t>
      </w:r>
    </w:p>
    <w:p w14:paraId="04EC5C38" w14:textId="03853048" w:rsidR="003D5F26" w:rsidRDefault="003D5F26" w:rsidP="003D5F26">
      <w:r>
        <w:t xml:space="preserve">Pokud si pokládáte otázku, zda pojištění schopnosti splácet pokryje všechna rizika a všechny členy domácnosti, tak odpověď je jednoznačná – ne. Prioritně je totiž určeno výhradně na pokrytí úvěrové splátky, a ještě pouze na ta rizika, která jsou zahrnuta v balíčku. Přitom i další rizika jsou pro rodinu dlužníka zásadní! </w:t>
      </w:r>
      <w:r w:rsidRPr="003D5F26">
        <w:rPr>
          <w:i/>
          <w:iCs/>
        </w:rPr>
        <w:t xml:space="preserve">„Pojištění schopnosti splácet </w:t>
      </w:r>
      <w:r w:rsidRPr="003D5F26">
        <w:rPr>
          <w:i/>
          <w:iCs/>
        </w:rPr>
        <w:lastRenderedPageBreak/>
        <w:t>sice zbaví dlužníka a jeho rodinu tíže měsíčních splátek, ale další náklady spojené s chodem domácnosti tím vyřešeny nejsou. Proto doporučujeme klientům životní pojistku. Výhodou je, že pojistné plnění z ní jde hned a přímo rodině, která pak sama zváží, co zaplatí nejdříve. Zda to budou splátky úvěru, náklady na léčbu, rekonvalescenci, běžné výdaje, nebo třeba nutné stavební úpravy bytu,“</w:t>
      </w:r>
      <w:r>
        <w:t xml:space="preserve"> uzavírá </w:t>
      </w:r>
      <w:r w:rsidR="00D5584F">
        <w:t>Petr Motáček</w:t>
      </w:r>
      <w:r>
        <w:t xml:space="preserve"> ze společnosti FinGO.</w:t>
      </w:r>
    </w:p>
    <w:p w14:paraId="1D237114" w14:textId="77777777" w:rsidR="005074D4" w:rsidRDefault="005074D4" w:rsidP="00427961"/>
    <w:p w14:paraId="00000013" w14:textId="087F77CC" w:rsidR="007223A3" w:rsidRPr="003D5F26" w:rsidRDefault="00000000" w:rsidP="00427961">
      <w:r w:rsidRPr="00547211">
        <w:rPr>
          <w:b/>
          <w:bCs/>
          <w:i/>
          <w:iCs/>
          <w:sz w:val="20"/>
          <w:szCs w:val="20"/>
        </w:rPr>
        <w:t>O společnosti FinGO:</w:t>
      </w:r>
    </w:p>
    <w:p w14:paraId="00000014" w14:textId="77777777" w:rsidR="007223A3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Významný podíl produkce FinGO.cz pochází z online příležitostí, které společnost sama vytváří pro své vázané zástupce. S pomocí nové platformy reCloud poskytuje FinGO rovněž komplexní zázemí pro realitní makléře.</w:t>
      </w:r>
    </w:p>
    <w:p w14:paraId="00000015" w14:textId="77777777" w:rsidR="007223A3" w:rsidRDefault="00000000">
      <w:pPr>
        <w:rPr>
          <w:i/>
          <w:sz w:val="20"/>
          <w:szCs w:val="20"/>
        </w:rPr>
      </w:pPr>
      <w:r>
        <w:rPr>
          <w:i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A9C7B67" wp14:editId="103709DE">
            <wp:simplePos x="0" y="0"/>
            <wp:positionH relativeFrom="column">
              <wp:posOffset>3719830</wp:posOffset>
            </wp:positionH>
            <wp:positionV relativeFrom="paragraph">
              <wp:posOffset>1303020</wp:posOffset>
            </wp:positionV>
            <wp:extent cx="460375" cy="431800"/>
            <wp:effectExtent l="0" t="0" r="0" b="0"/>
            <wp:wrapSquare wrapText="bothSides" distT="0" distB="0" distL="114300" distR="11430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A824F42" wp14:editId="64276700">
            <wp:simplePos x="0" y="0"/>
            <wp:positionH relativeFrom="column">
              <wp:posOffset>4072255</wp:posOffset>
            </wp:positionH>
            <wp:positionV relativeFrom="paragraph">
              <wp:posOffset>1303020</wp:posOffset>
            </wp:positionV>
            <wp:extent cx="845820" cy="431800"/>
            <wp:effectExtent l="0" t="0" r="0" b="0"/>
            <wp:wrapSquare wrapText="bothSides" distT="0" distB="0" distL="114300" distR="1143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56A7448A" wp14:editId="69FD3E4B">
            <wp:simplePos x="0" y="0"/>
            <wp:positionH relativeFrom="column">
              <wp:posOffset>4767580</wp:posOffset>
            </wp:positionH>
            <wp:positionV relativeFrom="paragraph">
              <wp:posOffset>1303020</wp:posOffset>
            </wp:positionV>
            <wp:extent cx="467995" cy="43180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34BAD1F" wp14:editId="793D4AFC">
            <wp:simplePos x="0" y="0"/>
            <wp:positionH relativeFrom="column">
              <wp:posOffset>5312410</wp:posOffset>
            </wp:positionH>
            <wp:positionV relativeFrom="paragraph">
              <wp:posOffset>1303020</wp:posOffset>
            </wp:positionV>
            <wp:extent cx="572135" cy="431800"/>
            <wp:effectExtent l="0" t="0" r="0" b="0"/>
            <wp:wrapSquare wrapText="bothSides" distT="0" distB="0" distL="114300" distR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223A3">
      <w:headerReference w:type="default" r:id="rId25"/>
      <w:footerReference w:type="default" r:id="rId2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CCAA" w14:textId="77777777" w:rsidR="00653D54" w:rsidRDefault="00653D54">
      <w:pPr>
        <w:spacing w:after="0" w:line="240" w:lineRule="auto"/>
      </w:pPr>
      <w:r>
        <w:separator/>
      </w:r>
    </w:p>
  </w:endnote>
  <w:endnote w:type="continuationSeparator" w:id="0">
    <w:p w14:paraId="5668B0F6" w14:textId="77777777" w:rsidR="00653D54" w:rsidRDefault="0065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7223A3" w:rsidRDefault="007223A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7223A3" w14:paraId="3CE5FE0A" w14:textId="77777777">
      <w:trPr>
        <w:trHeight w:val="300"/>
      </w:trPr>
      <w:tc>
        <w:tcPr>
          <w:tcW w:w="3020" w:type="dxa"/>
        </w:tcPr>
        <w:p w14:paraId="00000019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0000001A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  <w:tc>
        <w:tcPr>
          <w:tcW w:w="3020" w:type="dxa"/>
        </w:tcPr>
        <w:p w14:paraId="0000001B" w14:textId="77777777" w:rsidR="007223A3" w:rsidRDefault="007223A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</w:tr>
  </w:tbl>
  <w:p w14:paraId="0000001C" w14:textId="77777777" w:rsidR="007223A3" w:rsidRDefault="00722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D3E7F" w14:textId="77777777" w:rsidR="00653D54" w:rsidRDefault="00653D54">
      <w:pPr>
        <w:spacing w:after="0" w:line="240" w:lineRule="auto"/>
      </w:pPr>
      <w:r>
        <w:separator/>
      </w:r>
    </w:p>
  </w:footnote>
  <w:footnote w:type="continuationSeparator" w:id="0">
    <w:p w14:paraId="4A4908C3" w14:textId="77777777" w:rsidR="00653D54" w:rsidRDefault="0065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7223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30"/>
        <w:szCs w:val="3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F72A5C0" wp14:editId="2C4D8880">
          <wp:simplePos x="0" y="0"/>
          <wp:positionH relativeFrom="column">
            <wp:posOffset>4310380</wp:posOffset>
          </wp:positionH>
          <wp:positionV relativeFrom="paragraph">
            <wp:posOffset>-325752</wp:posOffset>
          </wp:positionV>
          <wp:extent cx="1895475" cy="76898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7" w14:textId="77777777" w:rsidR="007223A3" w:rsidRDefault="007223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3A3"/>
    <w:rsid w:val="000163B5"/>
    <w:rsid w:val="000213B4"/>
    <w:rsid w:val="00027B45"/>
    <w:rsid w:val="0003150F"/>
    <w:rsid w:val="0005740B"/>
    <w:rsid w:val="00082DCF"/>
    <w:rsid w:val="0009437F"/>
    <w:rsid w:val="000B1022"/>
    <w:rsid w:val="000C12D7"/>
    <w:rsid w:val="000E2074"/>
    <w:rsid w:val="001054BB"/>
    <w:rsid w:val="00121947"/>
    <w:rsid w:val="001825D6"/>
    <w:rsid w:val="001C0771"/>
    <w:rsid w:val="001C63F6"/>
    <w:rsid w:val="001E048A"/>
    <w:rsid w:val="002019A5"/>
    <w:rsid w:val="00245E51"/>
    <w:rsid w:val="0028235F"/>
    <w:rsid w:val="002854B5"/>
    <w:rsid w:val="002A5ABC"/>
    <w:rsid w:val="002E7751"/>
    <w:rsid w:val="00306C95"/>
    <w:rsid w:val="003309A3"/>
    <w:rsid w:val="0033164D"/>
    <w:rsid w:val="00341587"/>
    <w:rsid w:val="003C5558"/>
    <w:rsid w:val="003D5F26"/>
    <w:rsid w:val="003D6FA0"/>
    <w:rsid w:val="003E4E4F"/>
    <w:rsid w:val="003F15C3"/>
    <w:rsid w:val="00427033"/>
    <w:rsid w:val="00427961"/>
    <w:rsid w:val="004344B2"/>
    <w:rsid w:val="004725E2"/>
    <w:rsid w:val="004904DC"/>
    <w:rsid w:val="00491F86"/>
    <w:rsid w:val="00496E2A"/>
    <w:rsid w:val="004B45F5"/>
    <w:rsid w:val="004D7628"/>
    <w:rsid w:val="004E24FB"/>
    <w:rsid w:val="004F4182"/>
    <w:rsid w:val="005074D4"/>
    <w:rsid w:val="00514E1D"/>
    <w:rsid w:val="00530933"/>
    <w:rsid w:val="005437DE"/>
    <w:rsid w:val="00547211"/>
    <w:rsid w:val="00570686"/>
    <w:rsid w:val="005929ED"/>
    <w:rsid w:val="00633706"/>
    <w:rsid w:val="00653D54"/>
    <w:rsid w:val="0066490F"/>
    <w:rsid w:val="0068444D"/>
    <w:rsid w:val="0069150A"/>
    <w:rsid w:val="00693D32"/>
    <w:rsid w:val="006C4C8C"/>
    <w:rsid w:val="006E2801"/>
    <w:rsid w:val="00712932"/>
    <w:rsid w:val="007223A3"/>
    <w:rsid w:val="00730867"/>
    <w:rsid w:val="007349EF"/>
    <w:rsid w:val="00775B07"/>
    <w:rsid w:val="0078130F"/>
    <w:rsid w:val="00783389"/>
    <w:rsid w:val="00784192"/>
    <w:rsid w:val="007A7863"/>
    <w:rsid w:val="007B2FB0"/>
    <w:rsid w:val="00810DFE"/>
    <w:rsid w:val="0081176E"/>
    <w:rsid w:val="0081402E"/>
    <w:rsid w:val="00840AC2"/>
    <w:rsid w:val="00873ACD"/>
    <w:rsid w:val="008C083D"/>
    <w:rsid w:val="008C0FD8"/>
    <w:rsid w:val="008D2043"/>
    <w:rsid w:val="009136D3"/>
    <w:rsid w:val="00923895"/>
    <w:rsid w:val="00926D4B"/>
    <w:rsid w:val="00944B94"/>
    <w:rsid w:val="00974166"/>
    <w:rsid w:val="009C2781"/>
    <w:rsid w:val="009D62F4"/>
    <w:rsid w:val="009E71D7"/>
    <w:rsid w:val="00A5761A"/>
    <w:rsid w:val="00A71447"/>
    <w:rsid w:val="00AD141C"/>
    <w:rsid w:val="00AD5137"/>
    <w:rsid w:val="00B3184B"/>
    <w:rsid w:val="00B57883"/>
    <w:rsid w:val="00B959CA"/>
    <w:rsid w:val="00B97417"/>
    <w:rsid w:val="00BA0E0C"/>
    <w:rsid w:val="00BA4215"/>
    <w:rsid w:val="00BC519D"/>
    <w:rsid w:val="00BD009E"/>
    <w:rsid w:val="00BD2236"/>
    <w:rsid w:val="00BE7D69"/>
    <w:rsid w:val="00C14713"/>
    <w:rsid w:val="00C405DE"/>
    <w:rsid w:val="00C61BB6"/>
    <w:rsid w:val="00C66893"/>
    <w:rsid w:val="00C8785B"/>
    <w:rsid w:val="00C903EC"/>
    <w:rsid w:val="00CB6805"/>
    <w:rsid w:val="00CB6F30"/>
    <w:rsid w:val="00CB7D0D"/>
    <w:rsid w:val="00CC1C70"/>
    <w:rsid w:val="00CD4074"/>
    <w:rsid w:val="00CF5847"/>
    <w:rsid w:val="00D00CFA"/>
    <w:rsid w:val="00D0425F"/>
    <w:rsid w:val="00D04E0A"/>
    <w:rsid w:val="00D262DE"/>
    <w:rsid w:val="00D27C3C"/>
    <w:rsid w:val="00D550B2"/>
    <w:rsid w:val="00D5584F"/>
    <w:rsid w:val="00E309B8"/>
    <w:rsid w:val="00EA2E89"/>
    <w:rsid w:val="00F220B6"/>
    <w:rsid w:val="00F2344D"/>
    <w:rsid w:val="00F251C0"/>
    <w:rsid w:val="00F61227"/>
    <w:rsid w:val="00F8171F"/>
    <w:rsid w:val="00FA24DC"/>
    <w:rsid w:val="00FB300F"/>
    <w:rsid w:val="00FD2C71"/>
    <w:rsid w:val="00FF73B0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A41A"/>
  <w15:docId w15:val="{ED6A6770-4F3F-45CE-B69C-5141ACB0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12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721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721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D6FA0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74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74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b.cz/cs/obcane/pojisteni/pojisteni-schopnosti-splacet" TargetMode="External"/><Relationship Id="rId13" Type="http://schemas.openxmlformats.org/officeDocument/2006/relationships/hyperlink" Target="https://www.unicreditbank.cz/cs/obcane.html" TargetMode="External"/><Relationship Id="rId18" Type="http://schemas.openxmlformats.org/officeDocument/2006/relationships/hyperlink" Target="https://www.uniqa.cz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www.kb.cz/cs/obcane/pujcky/hypoteky" TargetMode="External"/><Relationship Id="rId12" Type="http://schemas.openxmlformats.org/officeDocument/2006/relationships/hyperlink" Target="https://www.csob.cz/lide/pojisteni/pojisteni-k-uverum" TargetMode="External"/><Relationship Id="rId17" Type="http://schemas.openxmlformats.org/officeDocument/2006/relationships/hyperlink" Target="https://www.rb.cz/osobni/hypoteky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ardif.cz/cs/web/czech-republic/pojisteni-schopnosti-splacet" TargetMode="External"/><Relationship Id="rId20" Type="http://schemas.openxmlformats.org/officeDocument/2006/relationships/hyperlink" Target="https://www.metlife.cz/skupinove-pojisteni/pojisteni-schopnosti-splace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sob.cz/lide/bydleni" TargetMode="Externa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www.moneta.cz/hypoteky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s://www.koop.cz/pojisteni/pojisteni-osob/pojisteni-k-uverum-ceske-sporitelny" TargetMode="External"/><Relationship Id="rId19" Type="http://schemas.openxmlformats.org/officeDocument/2006/relationships/hyperlink" Target="https://www.mbank.cz/osobni/hypotek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sas.cz/cs/osobni-finance/pujcky/pujcka?gad_source=1&amp;gclid=EAIaIQobChMIo5SsrcnahAMVeI1QBh3D5ggdEAAYASAAEgJ5p_D_BwE" TargetMode="External"/><Relationship Id="rId14" Type="http://schemas.openxmlformats.org/officeDocument/2006/relationships/hyperlink" Target="https://www.generaliceska.cz/unicreditbank" TargetMode="Externa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vZW/hNLHd6bj3zkFQfrMAmwgow==">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1548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Kubíček</dc:creator>
  <cp:lastModifiedBy>Jakub Knapp</cp:lastModifiedBy>
  <cp:revision>4</cp:revision>
  <dcterms:created xsi:type="dcterms:W3CDTF">2024-03-12T10:04:00Z</dcterms:created>
  <dcterms:modified xsi:type="dcterms:W3CDTF">2024-03-14T09:57:00Z</dcterms:modified>
</cp:coreProperties>
</file>