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78E86785" w14:textId="1BD8771E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3484FB3">
        <w:rPr>
          <w:rFonts w:cs="Arial"/>
          <w:b/>
          <w:bCs/>
        </w:rPr>
        <w:t xml:space="preserve">TISKOVÁ </w:t>
      </w:r>
      <w:r w:rsidR="008F3709">
        <w:rPr>
          <w:rFonts w:cs="Arial"/>
          <w:b/>
          <w:bCs/>
        </w:rPr>
        <w:t xml:space="preserve">ZPRÁVA         </w:t>
      </w:r>
      <w:r w:rsidR="004951DA" w:rsidRPr="03484FB3">
        <w:rPr>
          <w:rFonts w:cs="Arial"/>
          <w:b/>
          <w:bCs/>
        </w:rPr>
        <w:t xml:space="preserve">                                                                              </w:t>
      </w:r>
      <w:r w:rsidR="00190E29">
        <w:rPr>
          <w:rFonts w:cs="Arial"/>
          <w:b/>
          <w:bCs/>
        </w:rPr>
        <w:t>5.</w:t>
      </w:r>
      <w:r w:rsidR="009A4D7C" w:rsidRPr="00853308">
        <w:rPr>
          <w:rFonts w:cs="Arial"/>
          <w:b/>
          <w:bCs/>
        </w:rPr>
        <w:t xml:space="preserve"> </w:t>
      </w:r>
      <w:r w:rsidR="00190E29">
        <w:rPr>
          <w:rFonts w:cs="Arial"/>
          <w:b/>
          <w:bCs/>
        </w:rPr>
        <w:t>března</w:t>
      </w:r>
      <w:r w:rsidR="00A022F9" w:rsidRPr="03484FB3">
        <w:rPr>
          <w:rFonts w:cs="Arial"/>
          <w:b/>
          <w:bCs/>
        </w:rPr>
        <w:t xml:space="preserve"> </w:t>
      </w:r>
      <w:r w:rsidR="00072FF4" w:rsidRPr="03484FB3">
        <w:rPr>
          <w:rFonts w:cs="Arial"/>
          <w:b/>
          <w:bCs/>
        </w:rPr>
        <w:t>202</w:t>
      </w:r>
      <w:r w:rsidR="00636BEE" w:rsidRPr="03484FB3">
        <w:rPr>
          <w:rFonts w:cs="Arial"/>
          <w:b/>
          <w:bCs/>
        </w:rPr>
        <w:t>4</w:t>
      </w:r>
    </w:p>
    <w:p w14:paraId="29D6B04F" w14:textId="77777777" w:rsidR="004C5830" w:rsidRDefault="005E0531" w:rsidP="00AB056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3112C4">
        <w:t xml:space="preserve"> </w:t>
      </w:r>
    </w:p>
    <w:p w14:paraId="4BB0067C" w14:textId="26F131AF" w:rsidR="00853308" w:rsidRDefault="00853308" w:rsidP="00853308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Čím si nejčastěji ničíme odpady? Největší zlo dělají spláchnuté vlhčené ubrousky</w:t>
      </w:r>
      <w:r w:rsidR="00D848D7">
        <w:rPr>
          <w:rFonts w:ascii="Arial" w:hAnsi="Arial" w:cs="Arial"/>
          <w:b/>
          <w:sz w:val="28"/>
          <w:szCs w:val="28"/>
        </w:rPr>
        <w:t>, tampony</w:t>
      </w:r>
      <w:r w:rsidR="008B22F9">
        <w:rPr>
          <w:rFonts w:ascii="Arial" w:hAnsi="Arial" w:cs="Arial"/>
          <w:b/>
          <w:sz w:val="28"/>
          <w:szCs w:val="28"/>
        </w:rPr>
        <w:t xml:space="preserve">, léky či </w:t>
      </w:r>
      <w:r w:rsidR="0082746B">
        <w:rPr>
          <w:rFonts w:ascii="Arial" w:hAnsi="Arial" w:cs="Arial"/>
          <w:b/>
          <w:sz w:val="28"/>
          <w:szCs w:val="28"/>
        </w:rPr>
        <w:t xml:space="preserve">tuky a </w:t>
      </w:r>
      <w:r w:rsidR="008B22F9">
        <w:rPr>
          <w:rFonts w:ascii="Arial" w:hAnsi="Arial" w:cs="Arial"/>
          <w:b/>
          <w:sz w:val="28"/>
          <w:szCs w:val="28"/>
        </w:rPr>
        <w:t>zbytky jídla</w:t>
      </w:r>
    </w:p>
    <w:p w14:paraId="5DAB6C7B" w14:textId="77777777" w:rsidR="00C729CE" w:rsidRDefault="00C729CE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2F522F90" w14:textId="102AA380" w:rsidR="008C07BB" w:rsidRDefault="008F3709" w:rsidP="008F3709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8"/>
        </w:rPr>
      </w:pPr>
      <w:r w:rsidRPr="008F3709">
        <w:rPr>
          <w:rFonts w:ascii="Arial" w:hAnsi="Arial" w:cs="Arial"/>
          <w:b/>
          <w:bCs/>
          <w:sz w:val="22"/>
          <w:szCs w:val="28"/>
        </w:rPr>
        <w:t xml:space="preserve">Existuje celá řada </w:t>
      </w:r>
      <w:r>
        <w:rPr>
          <w:rFonts w:ascii="Arial" w:hAnsi="Arial" w:cs="Arial"/>
          <w:b/>
          <w:bCs/>
          <w:sz w:val="22"/>
          <w:szCs w:val="28"/>
        </w:rPr>
        <w:t>věcí</w:t>
      </w:r>
      <w:r w:rsidRPr="008F3709">
        <w:rPr>
          <w:rFonts w:ascii="Arial" w:hAnsi="Arial" w:cs="Arial"/>
          <w:b/>
          <w:bCs/>
          <w:sz w:val="22"/>
          <w:szCs w:val="28"/>
        </w:rPr>
        <w:t>,</w:t>
      </w:r>
      <w:r w:rsidR="001E4F4D">
        <w:rPr>
          <w:rFonts w:ascii="Arial" w:hAnsi="Arial" w:cs="Arial"/>
          <w:b/>
          <w:bCs/>
          <w:sz w:val="22"/>
          <w:szCs w:val="28"/>
        </w:rPr>
        <w:t xml:space="preserve"> </w:t>
      </w:r>
      <w:r w:rsidRPr="008F3709">
        <w:rPr>
          <w:rFonts w:ascii="Arial" w:hAnsi="Arial" w:cs="Arial"/>
          <w:b/>
          <w:bCs/>
          <w:sz w:val="22"/>
          <w:szCs w:val="28"/>
        </w:rPr>
        <w:t>které do vodovodního odpadu nepatří, a přesto v odpad</w:t>
      </w:r>
      <w:r w:rsidR="0079415D">
        <w:rPr>
          <w:rFonts w:ascii="Arial" w:hAnsi="Arial" w:cs="Arial"/>
          <w:b/>
          <w:bCs/>
          <w:sz w:val="22"/>
          <w:szCs w:val="28"/>
        </w:rPr>
        <w:t>ní</w:t>
      </w:r>
      <w:r w:rsidRPr="008F3709">
        <w:rPr>
          <w:rFonts w:ascii="Arial" w:hAnsi="Arial" w:cs="Arial"/>
          <w:b/>
          <w:bCs/>
          <w:sz w:val="22"/>
          <w:szCs w:val="28"/>
        </w:rPr>
        <w:t xml:space="preserve">ch systémech domácností pravidelně končí. </w:t>
      </w:r>
      <w:r w:rsidR="001E4F4D">
        <w:rPr>
          <w:rFonts w:ascii="Arial" w:hAnsi="Arial" w:cs="Arial"/>
          <w:b/>
          <w:bCs/>
          <w:sz w:val="22"/>
          <w:szCs w:val="28"/>
        </w:rPr>
        <w:t xml:space="preserve">Servisní technici a instalatéři pak vyjíždějí k haváriím, které jsme si zapříčinili například splachováním vlhčených ubrousků, hygienických pomůcek, vlasů či </w:t>
      </w:r>
      <w:r w:rsidR="006B3DC7">
        <w:rPr>
          <w:rFonts w:ascii="Arial" w:hAnsi="Arial" w:cs="Arial"/>
          <w:b/>
          <w:bCs/>
          <w:sz w:val="22"/>
          <w:szCs w:val="28"/>
        </w:rPr>
        <w:t>tuků.</w:t>
      </w:r>
      <w:r w:rsidR="00440C0E">
        <w:rPr>
          <w:rFonts w:ascii="Arial" w:hAnsi="Arial" w:cs="Arial"/>
          <w:b/>
          <w:bCs/>
          <w:sz w:val="22"/>
          <w:szCs w:val="28"/>
        </w:rPr>
        <w:t xml:space="preserve"> </w:t>
      </w:r>
      <w:r w:rsidRPr="008F3709">
        <w:rPr>
          <w:rFonts w:ascii="Arial" w:hAnsi="Arial" w:cs="Arial"/>
          <w:b/>
          <w:bCs/>
          <w:sz w:val="22"/>
          <w:szCs w:val="28"/>
        </w:rPr>
        <w:t xml:space="preserve">Málokdo </w:t>
      </w:r>
      <w:r w:rsidR="00440C0E">
        <w:rPr>
          <w:rFonts w:ascii="Arial" w:hAnsi="Arial" w:cs="Arial"/>
          <w:b/>
          <w:bCs/>
          <w:sz w:val="22"/>
          <w:szCs w:val="28"/>
        </w:rPr>
        <w:t>také</w:t>
      </w:r>
      <w:r w:rsidRPr="008F3709">
        <w:rPr>
          <w:rFonts w:ascii="Arial" w:hAnsi="Arial" w:cs="Arial"/>
          <w:b/>
          <w:bCs/>
          <w:sz w:val="22"/>
          <w:szCs w:val="28"/>
        </w:rPr>
        <w:t xml:space="preserve"> tuší, že si takovým jednáním </w:t>
      </w:r>
      <w:r w:rsidR="006C46C2">
        <w:rPr>
          <w:rFonts w:ascii="Arial" w:hAnsi="Arial" w:cs="Arial"/>
          <w:b/>
          <w:bCs/>
          <w:sz w:val="22"/>
          <w:szCs w:val="28"/>
        </w:rPr>
        <w:t>nejen</w:t>
      </w:r>
      <w:r w:rsidR="00440C0E">
        <w:rPr>
          <w:rFonts w:ascii="Arial" w:hAnsi="Arial" w:cs="Arial"/>
          <w:b/>
          <w:bCs/>
          <w:sz w:val="22"/>
          <w:szCs w:val="28"/>
        </w:rPr>
        <w:t xml:space="preserve"> poškozujeme odpadní </w:t>
      </w:r>
      <w:r w:rsidR="00F3160C">
        <w:rPr>
          <w:rFonts w:ascii="Arial" w:hAnsi="Arial" w:cs="Arial"/>
          <w:b/>
          <w:bCs/>
          <w:sz w:val="22"/>
          <w:szCs w:val="28"/>
        </w:rPr>
        <w:t>potrubí</w:t>
      </w:r>
      <w:r w:rsidR="00440C0E">
        <w:rPr>
          <w:rFonts w:ascii="Arial" w:hAnsi="Arial" w:cs="Arial"/>
          <w:b/>
          <w:bCs/>
          <w:sz w:val="22"/>
          <w:szCs w:val="28"/>
        </w:rPr>
        <w:t xml:space="preserve"> a kalová čerpadla, ale také </w:t>
      </w:r>
      <w:r w:rsidR="00F3160C">
        <w:rPr>
          <w:rFonts w:ascii="Arial" w:hAnsi="Arial" w:cs="Arial"/>
          <w:b/>
          <w:bCs/>
          <w:sz w:val="22"/>
          <w:szCs w:val="28"/>
        </w:rPr>
        <w:t>si díky</w:t>
      </w:r>
      <w:r w:rsidR="006C46C2">
        <w:rPr>
          <w:rFonts w:ascii="Arial" w:hAnsi="Arial" w:cs="Arial"/>
          <w:b/>
          <w:bCs/>
          <w:sz w:val="22"/>
          <w:szCs w:val="28"/>
        </w:rPr>
        <w:t xml:space="preserve"> </w:t>
      </w:r>
      <w:r w:rsidR="00F3160C">
        <w:rPr>
          <w:rFonts w:ascii="Arial" w:hAnsi="Arial" w:cs="Arial"/>
          <w:b/>
          <w:bCs/>
          <w:sz w:val="22"/>
          <w:szCs w:val="28"/>
        </w:rPr>
        <w:t>zvýšeným nárokům na údržbu celého systému zvyšujeme poplatky, které jako koncoví spotřebitelé zaplatíme.</w:t>
      </w:r>
      <w:r w:rsidR="005D1B53">
        <w:rPr>
          <w:rFonts w:ascii="Arial" w:hAnsi="Arial" w:cs="Arial"/>
          <w:b/>
          <w:bCs/>
          <w:sz w:val="22"/>
          <w:szCs w:val="28"/>
        </w:rPr>
        <w:t xml:space="preserve"> Poškoz</w:t>
      </w:r>
      <w:r w:rsidR="006C46C2">
        <w:rPr>
          <w:rFonts w:ascii="Arial" w:hAnsi="Arial" w:cs="Arial"/>
          <w:b/>
          <w:bCs/>
          <w:sz w:val="22"/>
          <w:szCs w:val="28"/>
        </w:rPr>
        <w:t xml:space="preserve">ení se </w:t>
      </w:r>
      <w:r w:rsidR="005D1B53">
        <w:rPr>
          <w:rFonts w:ascii="Arial" w:hAnsi="Arial" w:cs="Arial"/>
          <w:b/>
          <w:bCs/>
          <w:sz w:val="22"/>
          <w:szCs w:val="28"/>
        </w:rPr>
        <w:t>totiž</w:t>
      </w:r>
      <w:r w:rsidR="00C77A26">
        <w:rPr>
          <w:rFonts w:ascii="Arial" w:hAnsi="Arial" w:cs="Arial"/>
          <w:b/>
          <w:bCs/>
          <w:sz w:val="22"/>
          <w:szCs w:val="28"/>
        </w:rPr>
        <w:t xml:space="preserve"> týká</w:t>
      </w:r>
      <w:r w:rsidR="005D1B53">
        <w:rPr>
          <w:rFonts w:ascii="Arial" w:hAnsi="Arial" w:cs="Arial"/>
          <w:b/>
          <w:bCs/>
          <w:sz w:val="22"/>
          <w:szCs w:val="28"/>
        </w:rPr>
        <w:t xml:space="preserve"> nejen zařízení domácností, ale i celé městské infrastruktury.</w:t>
      </w:r>
    </w:p>
    <w:p w14:paraId="3955E5F9" w14:textId="0ACA5108" w:rsidR="00B84183" w:rsidRDefault="00B84183" w:rsidP="00E430AA">
      <w:pPr>
        <w:pStyle w:val="Normlnweb"/>
        <w:jc w:val="both"/>
        <w:rPr>
          <w:rFonts w:ascii="Arial" w:hAnsi="Arial" w:cs="Arial"/>
          <w:sz w:val="22"/>
          <w:szCs w:val="28"/>
        </w:rPr>
      </w:pPr>
      <w:r w:rsidRPr="00B84183">
        <w:rPr>
          <w:rFonts w:ascii="Arial" w:hAnsi="Arial" w:cs="Arial"/>
          <w:i/>
          <w:iCs/>
          <w:sz w:val="22"/>
          <w:szCs w:val="28"/>
        </w:rPr>
        <w:t xml:space="preserve">„Zdůraznil bych </w:t>
      </w:r>
      <w:r>
        <w:rPr>
          <w:rFonts w:ascii="Arial" w:hAnsi="Arial" w:cs="Arial"/>
          <w:i/>
          <w:iCs/>
          <w:sz w:val="22"/>
          <w:szCs w:val="28"/>
        </w:rPr>
        <w:t>hned několik</w:t>
      </w:r>
      <w:r w:rsidRPr="00B84183">
        <w:rPr>
          <w:rFonts w:ascii="Arial" w:hAnsi="Arial" w:cs="Arial"/>
          <w:i/>
          <w:iCs/>
          <w:sz w:val="22"/>
          <w:szCs w:val="28"/>
        </w:rPr>
        <w:t xml:space="preserve"> věcí, se kterými se v praxi setkávám a které poškozují nejen odpadní potrubí, ale především kalová čerpadla, která s odpadní vodou pracují, respektive ji přemisťují. Jedná se hlavně o vlhčené ubrousky, vatové tampony, vlasy, </w:t>
      </w:r>
      <w:r>
        <w:rPr>
          <w:rFonts w:ascii="Arial" w:hAnsi="Arial" w:cs="Arial"/>
          <w:i/>
          <w:iCs/>
          <w:sz w:val="22"/>
          <w:szCs w:val="28"/>
        </w:rPr>
        <w:t xml:space="preserve">tuky a zbytky potravin, </w:t>
      </w:r>
      <w:r w:rsidRPr="00B84183">
        <w:rPr>
          <w:rFonts w:ascii="Arial" w:hAnsi="Arial" w:cs="Arial"/>
          <w:i/>
          <w:iCs/>
          <w:sz w:val="22"/>
          <w:szCs w:val="28"/>
        </w:rPr>
        <w:t>pevné předměty obecně</w:t>
      </w:r>
      <w:r>
        <w:rPr>
          <w:rFonts w:ascii="Arial" w:hAnsi="Arial" w:cs="Arial"/>
          <w:i/>
          <w:iCs/>
          <w:sz w:val="22"/>
          <w:szCs w:val="28"/>
        </w:rPr>
        <w:t>,</w:t>
      </w:r>
      <w:r w:rsidRPr="00B84183">
        <w:rPr>
          <w:rFonts w:ascii="Arial" w:hAnsi="Arial" w:cs="Arial"/>
          <w:i/>
          <w:iCs/>
          <w:sz w:val="22"/>
          <w:szCs w:val="28"/>
        </w:rPr>
        <w:t xml:space="preserve"> abraziva a chemikálie společně s léky. Tyto faktory pak zapříčiňují výrazné snížení životnosti nejen celé potrubní trasy a čerpadel v dané domácnosti, ale v neposlední řadě v dlouhodobém horizontu neprospívají ani celému kalovému hospodářství. Zvyšují nezbytné výdaje na údržbu systému, které ve výsledku vždy dopadají na koncového spotřebitele. Jinými slovy si mnohdy nevědomk</w:t>
      </w:r>
      <w:r w:rsidR="00A529E7">
        <w:rPr>
          <w:rFonts w:ascii="Arial" w:hAnsi="Arial" w:cs="Arial"/>
          <w:i/>
          <w:iCs/>
          <w:sz w:val="22"/>
          <w:szCs w:val="28"/>
        </w:rPr>
        <w:t>y</w:t>
      </w:r>
      <w:r w:rsidRPr="00B84183">
        <w:rPr>
          <w:rFonts w:ascii="Arial" w:hAnsi="Arial" w:cs="Arial"/>
          <w:i/>
          <w:iCs/>
          <w:sz w:val="22"/>
          <w:szCs w:val="28"/>
        </w:rPr>
        <w:t xml:space="preserve"> sami zvyšuj</w:t>
      </w:r>
      <w:r w:rsidR="00A529E7">
        <w:rPr>
          <w:rFonts w:ascii="Arial" w:hAnsi="Arial" w:cs="Arial"/>
          <w:i/>
          <w:iCs/>
          <w:sz w:val="22"/>
          <w:szCs w:val="28"/>
        </w:rPr>
        <w:t>eme</w:t>
      </w:r>
      <w:r w:rsidRPr="00B84183">
        <w:rPr>
          <w:rFonts w:ascii="Arial" w:hAnsi="Arial" w:cs="Arial"/>
          <w:i/>
          <w:iCs/>
          <w:sz w:val="22"/>
          <w:szCs w:val="28"/>
        </w:rPr>
        <w:t xml:space="preserve"> poplatky svým nevhodným chováním</w:t>
      </w:r>
      <w:r w:rsidR="00BE3669">
        <w:rPr>
          <w:rFonts w:ascii="Arial" w:hAnsi="Arial" w:cs="Arial"/>
          <w:i/>
          <w:iCs/>
          <w:sz w:val="22"/>
          <w:szCs w:val="28"/>
        </w:rPr>
        <w:t>,</w:t>
      </w:r>
      <w:r w:rsidR="001E4EB7" w:rsidRPr="00B84183">
        <w:rPr>
          <w:rFonts w:ascii="Arial" w:hAnsi="Arial" w:cs="Arial"/>
          <w:i/>
          <w:iCs/>
          <w:sz w:val="22"/>
          <w:szCs w:val="28"/>
        </w:rPr>
        <w:t>“</w:t>
      </w:r>
      <w:r w:rsidRPr="00B84183">
        <w:rPr>
          <w:rFonts w:ascii="Arial" w:hAnsi="Arial" w:cs="Arial"/>
          <w:i/>
          <w:iCs/>
          <w:sz w:val="22"/>
          <w:szCs w:val="28"/>
        </w:rPr>
        <w:t xml:space="preserve"> </w:t>
      </w:r>
      <w:r w:rsidR="005C28A6" w:rsidRPr="005C28A6">
        <w:rPr>
          <w:rFonts w:ascii="Arial" w:hAnsi="Arial" w:cs="Arial"/>
          <w:sz w:val="22"/>
          <w:szCs w:val="28"/>
        </w:rPr>
        <w:t>vysvětluje</w:t>
      </w:r>
      <w:r w:rsidRPr="00B84183">
        <w:rPr>
          <w:rFonts w:ascii="Arial" w:hAnsi="Arial" w:cs="Arial"/>
          <w:sz w:val="22"/>
          <w:szCs w:val="28"/>
        </w:rPr>
        <w:t xml:space="preserve"> Otakar Pump, servisní manažer společnosti WILO CS.</w:t>
      </w:r>
    </w:p>
    <w:p w14:paraId="2F193B08" w14:textId="0CC6E96D" w:rsidR="006507C2" w:rsidRPr="00B84183" w:rsidRDefault="00E430AA" w:rsidP="00E430AA">
      <w:pPr>
        <w:pStyle w:val="Normlnweb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V odpadech často končí i sutě a zbytky stavebních materiálů, ale třeba také mobilní telefony, houbičky na nádobí </w:t>
      </w:r>
      <w:r w:rsidR="000B4322">
        <w:rPr>
          <w:rFonts w:ascii="Arial" w:hAnsi="Arial" w:cs="Arial"/>
          <w:sz w:val="22"/>
          <w:szCs w:val="28"/>
        </w:rPr>
        <w:t>či</w:t>
      </w:r>
      <w:r>
        <w:rPr>
          <w:rFonts w:ascii="Arial" w:hAnsi="Arial" w:cs="Arial"/>
          <w:sz w:val="22"/>
          <w:szCs w:val="28"/>
        </w:rPr>
        <w:t xml:space="preserve"> úklidové </w:t>
      </w:r>
      <w:r w:rsidR="000B4322">
        <w:rPr>
          <w:rFonts w:ascii="Arial" w:hAnsi="Arial" w:cs="Arial"/>
          <w:sz w:val="22"/>
          <w:szCs w:val="28"/>
        </w:rPr>
        <w:t xml:space="preserve">utěrky a hadříky. Výjimkou nejsou ani boty či </w:t>
      </w:r>
      <w:r w:rsidR="006507C2">
        <w:rPr>
          <w:rFonts w:ascii="Arial" w:hAnsi="Arial" w:cs="Arial"/>
          <w:sz w:val="22"/>
          <w:szCs w:val="28"/>
        </w:rPr>
        <w:t>chemikálie. Samostatnou kapitolou jsou pak oleje, tuky a zbytky potravin. „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Tuk a olej opravdu do odpadu nepatří. </w:t>
      </w:r>
      <w:r w:rsidR="006507C2">
        <w:rPr>
          <w:rFonts w:ascii="Arial" w:hAnsi="Arial" w:cs="Arial"/>
          <w:i/>
          <w:iCs/>
          <w:sz w:val="22"/>
          <w:szCs w:val="28"/>
        </w:rPr>
        <w:t xml:space="preserve">Tyto složky jsou 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>zcela nevhodn</w:t>
      </w:r>
      <w:r w:rsidR="006507C2">
        <w:rPr>
          <w:rFonts w:ascii="Arial" w:hAnsi="Arial" w:cs="Arial"/>
          <w:i/>
          <w:iCs/>
          <w:sz w:val="22"/>
          <w:szCs w:val="28"/>
        </w:rPr>
        <w:t>é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 pro proces čištění odpadních vod,</w:t>
      </w:r>
      <w:r w:rsidR="006507C2">
        <w:rPr>
          <w:rFonts w:ascii="Arial" w:hAnsi="Arial" w:cs="Arial"/>
          <w:i/>
          <w:iCs/>
          <w:sz w:val="22"/>
          <w:szCs w:val="28"/>
        </w:rPr>
        <w:t xml:space="preserve"> 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>usazuj</w:t>
      </w:r>
      <w:r w:rsidR="006507C2">
        <w:rPr>
          <w:rFonts w:ascii="Arial" w:hAnsi="Arial" w:cs="Arial"/>
          <w:i/>
          <w:iCs/>
          <w:sz w:val="22"/>
          <w:szCs w:val="28"/>
        </w:rPr>
        <w:t>í se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 v potrubní trase a hydraulice čerpadel. Převážně se splachují tuky, které pak v potrubí tuhnou a není snadné je odstranit.</w:t>
      </w:r>
      <w:r w:rsidR="006507C2">
        <w:rPr>
          <w:rFonts w:ascii="Arial" w:hAnsi="Arial" w:cs="Arial"/>
          <w:sz w:val="22"/>
          <w:szCs w:val="28"/>
        </w:rPr>
        <w:t xml:space="preserve"> 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V průmyslových kuchyních se toto ošetřuje speciálními jímkami – </w:t>
      </w:r>
      <w:proofErr w:type="spellStart"/>
      <w:r w:rsidR="006507C2" w:rsidRPr="006507C2">
        <w:rPr>
          <w:rFonts w:ascii="Arial" w:hAnsi="Arial" w:cs="Arial"/>
          <w:i/>
          <w:iCs/>
          <w:sz w:val="22"/>
          <w:szCs w:val="28"/>
        </w:rPr>
        <w:t>lapoly</w:t>
      </w:r>
      <w:proofErr w:type="spellEnd"/>
      <w:r w:rsidR="006507C2" w:rsidRPr="006507C2">
        <w:rPr>
          <w:rFonts w:ascii="Arial" w:hAnsi="Arial" w:cs="Arial"/>
          <w:i/>
          <w:iCs/>
          <w:sz w:val="22"/>
          <w:szCs w:val="28"/>
        </w:rPr>
        <w:t>, určen</w:t>
      </w:r>
      <w:r w:rsidR="006507C2">
        <w:rPr>
          <w:rFonts w:ascii="Arial" w:hAnsi="Arial" w:cs="Arial"/>
          <w:i/>
          <w:iCs/>
          <w:sz w:val="22"/>
          <w:szCs w:val="28"/>
        </w:rPr>
        <w:t>ými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 přímo k separaci tuků.</w:t>
      </w:r>
      <w:r w:rsidR="001E4EB7">
        <w:rPr>
          <w:rFonts w:ascii="Arial" w:hAnsi="Arial" w:cs="Arial"/>
          <w:i/>
          <w:iCs/>
          <w:sz w:val="22"/>
          <w:szCs w:val="28"/>
        </w:rPr>
        <w:t xml:space="preserve"> Veškeré spláchnuté 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zbytky jídel </w:t>
      </w:r>
      <w:r w:rsidR="001E4EB7">
        <w:rPr>
          <w:rFonts w:ascii="Arial" w:hAnsi="Arial" w:cs="Arial"/>
          <w:i/>
          <w:iCs/>
          <w:sz w:val="22"/>
          <w:szCs w:val="28"/>
        </w:rPr>
        <w:t>následně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 v procesu zahnív</w:t>
      </w:r>
      <w:r w:rsidR="001E4EB7">
        <w:rPr>
          <w:rFonts w:ascii="Arial" w:hAnsi="Arial" w:cs="Arial"/>
          <w:i/>
          <w:iCs/>
          <w:sz w:val="22"/>
          <w:szCs w:val="28"/>
        </w:rPr>
        <w:t>ají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>, tvoří se bakterie</w:t>
      </w:r>
      <w:r w:rsidR="001E4EB7">
        <w:rPr>
          <w:rFonts w:ascii="Arial" w:hAnsi="Arial" w:cs="Arial"/>
          <w:i/>
          <w:iCs/>
          <w:sz w:val="22"/>
          <w:szCs w:val="28"/>
        </w:rPr>
        <w:t xml:space="preserve"> a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 xml:space="preserve"> </w:t>
      </w:r>
      <w:r w:rsidR="001E4EB7">
        <w:rPr>
          <w:rFonts w:ascii="Arial" w:hAnsi="Arial" w:cs="Arial"/>
          <w:i/>
          <w:iCs/>
          <w:sz w:val="22"/>
          <w:szCs w:val="28"/>
        </w:rPr>
        <w:t xml:space="preserve">životní prostředí zatěžující </w:t>
      </w:r>
      <w:r w:rsidR="006507C2" w:rsidRPr="006507C2">
        <w:rPr>
          <w:rFonts w:ascii="Arial" w:hAnsi="Arial" w:cs="Arial"/>
          <w:i/>
          <w:iCs/>
          <w:sz w:val="22"/>
          <w:szCs w:val="28"/>
        </w:rPr>
        <w:t>metan</w:t>
      </w:r>
      <w:r w:rsidR="00BE3669">
        <w:rPr>
          <w:rFonts w:ascii="Arial" w:hAnsi="Arial" w:cs="Arial"/>
          <w:i/>
          <w:iCs/>
          <w:sz w:val="22"/>
          <w:szCs w:val="28"/>
        </w:rPr>
        <w:t>,</w:t>
      </w:r>
      <w:r w:rsidR="001E4EB7">
        <w:rPr>
          <w:rFonts w:ascii="Arial" w:hAnsi="Arial" w:cs="Arial"/>
          <w:i/>
          <w:iCs/>
          <w:sz w:val="22"/>
          <w:szCs w:val="28"/>
        </w:rPr>
        <w:t xml:space="preserve">“ </w:t>
      </w:r>
      <w:r w:rsidR="001E4EB7" w:rsidRPr="001E4EB7">
        <w:rPr>
          <w:rFonts w:ascii="Arial" w:hAnsi="Arial" w:cs="Arial"/>
          <w:sz w:val="22"/>
          <w:szCs w:val="28"/>
        </w:rPr>
        <w:t>doplnil Otakar Pump.</w:t>
      </w:r>
    </w:p>
    <w:p w14:paraId="0CF4B766" w14:textId="32916DC6" w:rsidR="00B84183" w:rsidRPr="00B84183" w:rsidRDefault="00E430AA" w:rsidP="008F3709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</w:t>
      </w:r>
    </w:p>
    <w:p w14:paraId="0B1FA575" w14:textId="7BA33482" w:rsidR="00EE0104" w:rsidRPr="0052364A" w:rsidRDefault="008F3709" w:rsidP="0096184E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iCs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Komplikace spojené se splachováním zmíněných předmětů a správné nakládání s nimi</w:t>
      </w:r>
      <w:r w:rsidR="0099457D" w:rsidRPr="0052364A">
        <w:rPr>
          <w:rFonts w:ascii="Arial" w:hAnsi="Arial" w:cs="Arial"/>
          <w:b/>
          <w:sz w:val="22"/>
          <w:szCs w:val="28"/>
        </w:rPr>
        <w:t xml:space="preserve"> shrnuje následující tabulka</w:t>
      </w:r>
      <w:r w:rsidR="00A04DD8">
        <w:rPr>
          <w:rFonts w:ascii="Arial" w:hAnsi="Arial" w:cs="Arial"/>
          <w:b/>
          <w:sz w:val="22"/>
          <w:szCs w:val="28"/>
        </w:rPr>
        <w:t>:</w:t>
      </w:r>
    </w:p>
    <w:p w14:paraId="5A39BBE3" w14:textId="77777777" w:rsidR="00E30B4F" w:rsidRDefault="00E30B4F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37F8170D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0257311B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3126BE53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2629291F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78665BED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2D97C5D3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663F2920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13BE70E8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33028FB9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1F89B3AA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1DC6BDE0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76EF7E22" w14:textId="77777777" w:rsidR="008F3709" w:rsidRDefault="008F3709" w:rsidP="00B86CFB">
      <w:pPr>
        <w:pStyle w:val="Normlnweb"/>
        <w:pBdr>
          <w:top w:val="single" w:sz="12" w:space="1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5FC6D8E5" w14:textId="77777777" w:rsidR="008F3709" w:rsidRPr="00303727" w:rsidRDefault="008F3709" w:rsidP="008F3709">
      <w:pPr>
        <w:pStyle w:val="Odstavecseseznamem"/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402"/>
      </w:tblGrid>
      <w:tr w:rsidR="008F3709" w:rsidRPr="00303727" w14:paraId="032D7D7D" w14:textId="77777777" w:rsidTr="007B16BB">
        <w:trPr>
          <w:trHeight w:val="656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C199" w14:textId="44C23548" w:rsidR="008F3709" w:rsidRPr="00411CF4" w:rsidRDefault="00411CF4" w:rsidP="0069011D">
            <w:pP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</w:pPr>
            <w:r w:rsidRPr="00411CF4">
              <w:rPr>
                <w:rFonts w:cs="Calibri"/>
                <w:b/>
                <w:bCs/>
                <w:color w:val="242424"/>
                <w:sz w:val="22"/>
                <w:szCs w:val="22"/>
              </w:rPr>
              <w:t>Největší nepřátelé odpadu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06D1" w14:textId="77777777" w:rsidR="008F3709" w:rsidRPr="00DA5A91" w:rsidRDefault="008F3709" w:rsidP="0069011D">
            <w:pPr>
              <w:rPr>
                <w:rFonts w:cs="Arial"/>
                <w:b/>
                <w:bCs/>
                <w:color w:val="242424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Komplikace</w:t>
            </w:r>
            <w:r w:rsidRPr="00DA5A91">
              <w:rPr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303727">
              <w:rPr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způsobené špatným nakládáním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398C" w14:textId="77777777" w:rsidR="008F3709" w:rsidRPr="00DA5A91" w:rsidRDefault="008F3709" w:rsidP="0069011D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Správné nakládání</w:t>
            </w:r>
          </w:p>
        </w:tc>
      </w:tr>
      <w:tr w:rsidR="008F3709" w:rsidRPr="00303727" w14:paraId="2DD1E821" w14:textId="77777777" w:rsidTr="007B16BB">
        <w:trPr>
          <w:trHeight w:val="1365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DEC9" w14:textId="77777777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Vlhčené ubrousky</w:t>
            </w:r>
            <w:r w:rsidRPr="00DA5A91">
              <w:rPr>
                <w:rFonts w:cs="Arial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653D" w14:textId="77777777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shd w:val="clear" w:color="auto" w:fill="FFFFFF"/>
              </w:rPr>
              <w:t>Ucpání potrubní trasy, zejména v ohybech a zúžených místech. Jsou problémem pro čerpadla s malou průchodností a řezacím mechanismem.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CA0B" w14:textId="7F44E8EB" w:rsidR="008F3709" w:rsidRPr="00DA5A91" w:rsidRDefault="008F3709" w:rsidP="0069011D">
            <w:pPr>
              <w:rPr>
                <w:rFonts w:ascii="Calibri" w:hAnsi="Calibri" w:cs="Calibri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Vytří</w:t>
            </w:r>
            <w:r w:rsidR="00FA6B85">
              <w:rPr>
                <w:rFonts w:cs="Arial"/>
                <w:sz w:val="22"/>
                <w:szCs w:val="22"/>
                <w:bdr w:val="none" w:sz="0" w:space="0" w:color="auto" w:frame="1"/>
              </w:rPr>
              <w:t>dě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ní do směsného </w:t>
            </w:r>
            <w:r w:rsidR="00EB3F7C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komunálního 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odpadu.</w:t>
            </w:r>
          </w:p>
        </w:tc>
      </w:tr>
      <w:tr w:rsidR="008F3709" w:rsidRPr="00303727" w14:paraId="5D117367" w14:textId="77777777" w:rsidTr="007B16BB">
        <w:trPr>
          <w:trHeight w:val="11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158C" w14:textId="4DFFCD93" w:rsidR="008F3709" w:rsidRPr="00DA5A91" w:rsidRDefault="008F3709" w:rsidP="0069011D">
            <w:pPr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Vatové tampony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9AB7" w14:textId="0418E230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shd w:val="clear" w:color="auto" w:fill="FFFFFF"/>
              </w:rPr>
              <w:t>Vyhozením a spláchnutím do toalety způsobují zacpání potrubí a znehodnocení čerpadel –</w:t>
            </w:r>
            <w:r w:rsidR="00872B1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303727">
              <w:rPr>
                <w:rFonts w:cs="Arial"/>
                <w:sz w:val="22"/>
                <w:szCs w:val="22"/>
                <w:shd w:val="clear" w:color="auto" w:fill="FFFFFF"/>
              </w:rPr>
              <w:t>přetížení elektromotorů.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25CF" w14:textId="05B2103A" w:rsidR="008F3709" w:rsidRPr="00DA5A91" w:rsidRDefault="00EB3F7C" w:rsidP="0069011D">
            <w:pPr>
              <w:rPr>
                <w:rFonts w:ascii="Calibri" w:hAnsi="Calibri" w:cs="Calibri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Vytří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dě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ní do směsného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komunálního 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odpadu.</w:t>
            </w:r>
          </w:p>
        </w:tc>
      </w:tr>
      <w:tr w:rsidR="000F2007" w:rsidRPr="00303727" w14:paraId="2FC692D4" w14:textId="77777777" w:rsidTr="007B16BB">
        <w:trPr>
          <w:trHeight w:val="96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3BDF" w14:textId="6B4461C5" w:rsidR="000F2007" w:rsidRPr="00303727" w:rsidRDefault="000F2007" w:rsidP="0069011D">
            <w:pPr>
              <w:rPr>
                <w:rFonts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Oleje</w:t>
            </w:r>
            <w:r w:rsidR="00EB3F7C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 a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 tuky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910D" w14:textId="18C8FDD2" w:rsidR="000F2007" w:rsidRPr="00303727" w:rsidRDefault="00F026C8" w:rsidP="0069011D">
            <w:pPr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N</w:t>
            </w:r>
            <w:r w:rsidRPr="00F026C8">
              <w:rPr>
                <w:rFonts w:cs="Arial"/>
                <w:sz w:val="22"/>
                <w:szCs w:val="22"/>
                <w:shd w:val="clear" w:color="auto" w:fill="FFFFFF"/>
              </w:rPr>
              <w:t>evhodn</w:t>
            </w:r>
            <w:r w:rsidR="00872B16">
              <w:rPr>
                <w:rFonts w:cs="Arial"/>
                <w:sz w:val="22"/>
                <w:szCs w:val="22"/>
                <w:shd w:val="clear" w:color="auto" w:fill="FFFFFF"/>
              </w:rPr>
              <w:t>é</w:t>
            </w:r>
            <w:r w:rsidRPr="00F026C8">
              <w:rPr>
                <w:rFonts w:cs="Arial"/>
                <w:sz w:val="22"/>
                <w:szCs w:val="22"/>
                <w:shd w:val="clear" w:color="auto" w:fill="FFFFFF"/>
              </w:rPr>
              <w:t xml:space="preserve"> pro proces čištění odpadních vod,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F026C8">
              <w:rPr>
                <w:rFonts w:cs="Arial"/>
                <w:sz w:val="22"/>
                <w:szCs w:val="22"/>
                <w:shd w:val="clear" w:color="auto" w:fill="FFFFFF"/>
              </w:rPr>
              <w:t>usazuj</w:t>
            </w:r>
            <w:r w:rsidR="00872B16">
              <w:rPr>
                <w:rFonts w:cs="Arial"/>
                <w:sz w:val="22"/>
                <w:szCs w:val="22"/>
                <w:shd w:val="clear" w:color="auto" w:fill="FFFFFF"/>
              </w:rPr>
              <w:t>í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se</w:t>
            </w:r>
            <w:r w:rsidRPr="00F026C8">
              <w:rPr>
                <w:rFonts w:cs="Arial"/>
                <w:sz w:val="22"/>
                <w:szCs w:val="22"/>
                <w:shd w:val="clear" w:color="auto" w:fill="FFFFFF"/>
              </w:rPr>
              <w:t xml:space="preserve"> v potrubní trase a hydraulice čerpadel. </w:t>
            </w:r>
            <w:r w:rsidR="00872B16">
              <w:rPr>
                <w:rFonts w:cs="Arial"/>
                <w:sz w:val="22"/>
                <w:szCs w:val="22"/>
                <w:shd w:val="clear" w:color="auto" w:fill="FFFFFF"/>
              </w:rPr>
              <w:t>Ztuhlé t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uky</w:t>
            </w:r>
            <w:r w:rsidRPr="00F026C8">
              <w:rPr>
                <w:rFonts w:cs="Arial"/>
                <w:sz w:val="22"/>
                <w:szCs w:val="22"/>
                <w:shd w:val="clear" w:color="auto" w:fill="FFFFFF"/>
              </w:rPr>
              <w:t xml:space="preserve"> v potrubí není snadné odstranit.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4FF0" w14:textId="5B93DDBA" w:rsidR="000F2007" w:rsidRPr="00303727" w:rsidRDefault="00EB3F7C" w:rsidP="0069011D">
            <w:pPr>
              <w:rPr>
                <w:rFonts w:cs="Arial"/>
                <w:sz w:val="22"/>
                <w:szCs w:val="22"/>
                <w:bdr w:val="none" w:sz="0" w:space="0" w:color="auto" w:frame="1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Vytří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dě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ní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ideálně do popelnic určených na oleje a tuky. </w:t>
            </w:r>
          </w:p>
        </w:tc>
      </w:tr>
      <w:tr w:rsidR="00EB3F7C" w:rsidRPr="00303727" w14:paraId="633C9233" w14:textId="77777777" w:rsidTr="007B16BB">
        <w:trPr>
          <w:trHeight w:val="549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8277" w14:textId="5F831298" w:rsidR="00EB3F7C" w:rsidRDefault="00EB3F7C" w:rsidP="0069011D">
            <w:pPr>
              <w:rPr>
                <w:rFonts w:cs="Arial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Zbytky jídel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08E" w14:textId="678825D7" w:rsidR="00EB3F7C" w:rsidRPr="00303727" w:rsidRDefault="00872B16" w:rsidP="0069011D">
            <w:pPr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Z</w:t>
            </w:r>
            <w:r w:rsidRPr="00872B16">
              <w:rPr>
                <w:rFonts w:cs="Arial"/>
                <w:sz w:val="22"/>
                <w:szCs w:val="22"/>
                <w:shd w:val="clear" w:color="auto" w:fill="FFFFFF"/>
              </w:rPr>
              <w:t>ahnív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ají v soustavě</w:t>
            </w:r>
            <w:r w:rsidRPr="00872B16">
              <w:rPr>
                <w:rFonts w:cs="Arial"/>
                <w:sz w:val="22"/>
                <w:szCs w:val="22"/>
                <w:shd w:val="clear" w:color="auto" w:fill="FFFFFF"/>
              </w:rPr>
              <w:t xml:space="preserve">, tvoří se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škodlivé </w:t>
            </w:r>
            <w:r w:rsidRPr="00872B16">
              <w:rPr>
                <w:rFonts w:cs="Arial"/>
                <w:sz w:val="22"/>
                <w:szCs w:val="22"/>
                <w:shd w:val="clear" w:color="auto" w:fill="FFFFFF"/>
              </w:rPr>
              <w:t>bakterie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 a</w:t>
            </w:r>
            <w:r w:rsidRPr="00872B16">
              <w:rPr>
                <w:rFonts w:cs="Arial"/>
                <w:sz w:val="22"/>
                <w:szCs w:val="22"/>
                <w:shd w:val="clear" w:color="auto" w:fill="FFFFFF"/>
              </w:rPr>
              <w:t xml:space="preserve"> metan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535" w14:textId="279CF898" w:rsidR="00EB3F7C" w:rsidRPr="00303727" w:rsidRDefault="00EB3F7C" w:rsidP="0069011D">
            <w:pPr>
              <w:rPr>
                <w:rFonts w:cs="Arial"/>
                <w:sz w:val="22"/>
                <w:szCs w:val="22"/>
                <w:bdr w:val="none" w:sz="0" w:space="0" w:color="auto" w:frame="1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Vytří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dě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ní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ideálně do popelnic určených na </w:t>
            </w:r>
            <w:proofErr w:type="spellStart"/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gastroodpad</w:t>
            </w:r>
            <w:proofErr w:type="spellEnd"/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8F3709" w:rsidRPr="00303727" w14:paraId="44C41ED8" w14:textId="77777777" w:rsidTr="007B16BB">
        <w:trPr>
          <w:trHeight w:val="353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2458" w14:textId="77777777" w:rsidR="008F3709" w:rsidRPr="00DA5A91" w:rsidRDefault="008F3709" w:rsidP="0069011D">
            <w:pPr>
              <w:rPr>
                <w:rFonts w:ascii="Calibri" w:hAnsi="Calibri" w:cs="Calibri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Vlasy</w:t>
            </w:r>
            <w:r w:rsidRPr="00DA5A91"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E2FD" w14:textId="71BE2373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Vlasy se zachytávají v potrubí a na ně se dále nabalují další odpadní látky – zubní pasta, hleny, tuk apod.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E565" w14:textId="7B9784F6" w:rsidR="008F3709" w:rsidRPr="00DA5A91" w:rsidRDefault="00EB3F7C" w:rsidP="0069011D">
            <w:pPr>
              <w:rPr>
                <w:rFonts w:ascii="Calibri" w:hAnsi="Calibri" w:cs="Calibri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Vytří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>dě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ní do směsného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komunálního 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odpadu.</w:t>
            </w:r>
          </w:p>
        </w:tc>
      </w:tr>
      <w:tr w:rsidR="008F3709" w:rsidRPr="00303727" w14:paraId="1C147CA3" w14:textId="77777777" w:rsidTr="007B16BB">
        <w:trPr>
          <w:trHeight w:val="825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256D" w14:textId="77777777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Pevné předměty a abraziva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A215" w14:textId="59A88FC4" w:rsidR="008F3709" w:rsidRPr="00DA5A91" w:rsidRDefault="00872B16" w:rsidP="006901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Abrazivní</w:t>
            </w:r>
            <w:r w:rsidR="008F3709" w:rsidRPr="0030372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materiály, písky, kamínky, kusy omítky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ale i další pevné materiály zanášejí </w:t>
            </w:r>
            <w:r w:rsidR="008F3709" w:rsidRPr="0030372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potrubní systém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8F3709" w:rsidRPr="0030372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Ty, které se dostanou až k čerpadlům, poškozují jejich oběžná kola a hydrauliku.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F783" w14:textId="1318A704" w:rsidR="008F3709" w:rsidRPr="00303727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>Abraziva, písky</w:t>
            </w:r>
            <w:r w:rsidRPr="00303727">
              <w:rPr>
                <w:rFonts w:cs="Arial"/>
                <w:sz w:val="22"/>
                <w:szCs w:val="22"/>
              </w:rPr>
              <w:t xml:space="preserve"> – většina stavebního materiálu patří do sběrného dvora. </w:t>
            </w:r>
          </w:p>
          <w:p w14:paraId="54AA4E68" w14:textId="33CC0B69" w:rsidR="008F3709" w:rsidRPr="00303727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>Houbičky na nádobí</w:t>
            </w:r>
            <w:r w:rsidRPr="00303727">
              <w:rPr>
                <w:rFonts w:cs="Arial"/>
                <w:sz w:val="22"/>
                <w:szCs w:val="22"/>
              </w:rPr>
              <w:t xml:space="preserve"> – 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směsný odpad</w:t>
            </w:r>
            <w:r w:rsidR="00385A89">
              <w:rPr>
                <w:rFonts w:cs="Arial"/>
                <w:sz w:val="22"/>
                <w:szCs w:val="22"/>
                <w:bdr w:val="none" w:sz="0" w:space="0" w:color="auto" w:frame="1"/>
              </w:rPr>
              <w:t>.</w:t>
            </w:r>
          </w:p>
          <w:p w14:paraId="248EC240" w14:textId="77777777" w:rsidR="008F3709" w:rsidRPr="00303727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>Hadry</w:t>
            </w:r>
            <w:r w:rsidRPr="00303727">
              <w:rPr>
                <w:rFonts w:cs="Arial"/>
                <w:sz w:val="22"/>
                <w:szCs w:val="22"/>
              </w:rPr>
              <w:t xml:space="preserve"> – kontejner na textil, znečištěné do směsného odpadu nebo sběrného dvora. Do nebezpečného odpadu patří hadry od chemikálií.</w:t>
            </w:r>
          </w:p>
          <w:p w14:paraId="13BEDC42" w14:textId="35DE9582" w:rsidR="008F3709" w:rsidRPr="00DA5A91" w:rsidRDefault="008F3709" w:rsidP="0069011D">
            <w:pPr>
              <w:rPr>
                <w:rFonts w:ascii="Calibri" w:hAnsi="Calibri" w:cs="Calibri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>Boty</w:t>
            </w:r>
            <w:r w:rsidRPr="00303727">
              <w:rPr>
                <w:rFonts w:cs="Arial"/>
                <w:sz w:val="22"/>
                <w:szCs w:val="22"/>
              </w:rPr>
              <w:t xml:space="preserve"> – zničené do směsného odpadu, zachovalé do kontejneru na textil</w:t>
            </w:r>
            <w:r w:rsidR="00385A89">
              <w:rPr>
                <w:rFonts w:cs="Arial"/>
                <w:sz w:val="22"/>
                <w:szCs w:val="22"/>
              </w:rPr>
              <w:t>.</w:t>
            </w:r>
          </w:p>
        </w:tc>
      </w:tr>
      <w:tr w:rsidR="008F3709" w:rsidRPr="00303727" w14:paraId="7D610EE8" w14:textId="77777777" w:rsidTr="007B16BB">
        <w:trPr>
          <w:trHeight w:val="1671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3694" w14:textId="77777777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</w:rPr>
              <w:t>Chemikálie a léky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C2E7" w14:textId="0D8677F9" w:rsidR="008F3709" w:rsidRPr="00DA5A91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Toaleta a vodovodní systém celkově není určen pro splachování chemických látek a léků.</w:t>
            </w:r>
            <w:r w:rsidR="00385A89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303727">
              <w:rPr>
                <w:rFonts w:cs="Arial"/>
                <w:sz w:val="22"/>
                <w:szCs w:val="22"/>
                <w:bdr w:val="none" w:sz="0" w:space="0" w:color="auto" w:frame="1"/>
              </w:rPr>
              <w:t>Znehodnocují odpadní vody, špatně se odstraňují a způsobují koroze potrubního systému a čerpadel.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EA6B" w14:textId="7AB535F0" w:rsidR="008F3709" w:rsidRPr="00303727" w:rsidRDefault="008F3709" w:rsidP="0069011D">
            <w:pPr>
              <w:rPr>
                <w:rFonts w:cs="Arial"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 xml:space="preserve">Léky </w:t>
            </w:r>
            <w:r w:rsidRPr="00303727">
              <w:rPr>
                <w:rFonts w:cs="Arial"/>
                <w:sz w:val="22"/>
                <w:szCs w:val="22"/>
              </w:rPr>
              <w:t>– nepotřebné a prošlé léky odevzdat do lékárny</w:t>
            </w:r>
            <w:r w:rsidR="00385A89">
              <w:rPr>
                <w:rFonts w:cs="Arial"/>
                <w:sz w:val="22"/>
                <w:szCs w:val="22"/>
              </w:rPr>
              <w:t>.</w:t>
            </w:r>
          </w:p>
          <w:p w14:paraId="7B4ABDD2" w14:textId="3926B879" w:rsidR="008F3709" w:rsidRPr="00DA5A91" w:rsidRDefault="008F3709" w:rsidP="006901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03727">
              <w:rPr>
                <w:rFonts w:cs="Arial"/>
                <w:b/>
                <w:bCs/>
                <w:sz w:val="22"/>
                <w:szCs w:val="22"/>
              </w:rPr>
              <w:t xml:space="preserve">Chemikálie </w:t>
            </w:r>
            <w:r w:rsidRPr="00303727">
              <w:rPr>
                <w:rFonts w:cs="Arial"/>
                <w:sz w:val="22"/>
                <w:szCs w:val="22"/>
              </w:rPr>
              <w:t>– nebezpečný odpad, sběrný dvůr</w:t>
            </w:r>
            <w:r w:rsidR="00385A89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0D0B940D" w14:textId="77777777" w:rsidR="00955182" w:rsidRDefault="00955182" w:rsidP="00BC596D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5A7E1D" w14:textId="233CC419" w:rsidR="00190E29" w:rsidRDefault="00190E29" w:rsidP="00BC596D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Graficky zpracovanou tabulku naleznete ke stažení </w:t>
      </w:r>
      <w:hyperlink r:id="rId10" w:history="1">
        <w:r w:rsidRPr="00BC6B9D">
          <w:rPr>
            <w:rStyle w:val="Hypertextovodkaz"/>
            <w:rFonts w:ascii="Arial" w:hAnsi="Arial" w:cs="Arial"/>
            <w:b/>
            <w:sz w:val="22"/>
            <w:szCs w:val="22"/>
          </w:rPr>
          <w:t>zd</w:t>
        </w:r>
        <w:r w:rsidRPr="00BC6B9D">
          <w:rPr>
            <w:rStyle w:val="Hypertextovodkaz"/>
            <w:rFonts w:ascii="Arial" w:hAnsi="Arial" w:cs="Arial"/>
            <w:b/>
            <w:sz w:val="22"/>
            <w:szCs w:val="22"/>
          </w:rPr>
          <w:t>e</w:t>
        </w:r>
      </w:hyperlink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3EF12F33" w14:textId="77777777" w:rsidR="008F3709" w:rsidRDefault="008F3709" w:rsidP="00BC596D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FE6555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7F00D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7312D55" w14:textId="77777777" w:rsidR="002E0F45" w:rsidRPr="00E9378D" w:rsidRDefault="0000000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1" w:history="1">
        <w:proofErr w:type="spellStart"/>
        <w:r w:rsidR="00AA06B0" w:rsidRPr="00FC2ADF">
          <w:rPr>
            <w:rStyle w:val="Hypertextovodkaz"/>
            <w:sz w:val="22"/>
            <w:szCs w:val="22"/>
          </w:rPr>
          <w:t>Wilo</w:t>
        </w:r>
        <w:proofErr w:type="spellEnd"/>
      </w:hyperlink>
      <w:r w:rsidR="00AA06B0"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="00AA06B0" w:rsidRPr="007F00DE">
        <w:rPr>
          <w:sz w:val="22"/>
          <w:szCs w:val="22"/>
        </w:rPr>
        <w:t>Wilo</w:t>
      </w:r>
      <w:proofErr w:type="spellEnd"/>
      <w:r w:rsidR="00AA06B0" w:rsidRPr="007F00DE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0E27B00A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B7066D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5"/>
  </w:num>
  <w:num w:numId="2" w16cid:durableId="1910264514">
    <w:abstractNumId w:val="4"/>
  </w:num>
  <w:num w:numId="3" w16cid:durableId="917207565">
    <w:abstractNumId w:val="6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9D0"/>
    <w:rsid w:val="000A13C0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4962"/>
    <w:rsid w:val="00124A84"/>
    <w:rsid w:val="0012548E"/>
    <w:rsid w:val="0012615C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E2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7BD5"/>
    <w:rsid w:val="002F2FC5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3958"/>
    <w:rsid w:val="00356061"/>
    <w:rsid w:val="00356AA3"/>
    <w:rsid w:val="00356ECA"/>
    <w:rsid w:val="003611E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2054"/>
    <w:rsid w:val="003F5CD8"/>
    <w:rsid w:val="003F5E03"/>
    <w:rsid w:val="003F635C"/>
    <w:rsid w:val="0040040C"/>
    <w:rsid w:val="004022D7"/>
    <w:rsid w:val="004034AB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409E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214A"/>
    <w:rsid w:val="005732BF"/>
    <w:rsid w:val="005749D4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2D05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46C2"/>
    <w:rsid w:val="006D0B23"/>
    <w:rsid w:val="006D1D65"/>
    <w:rsid w:val="006D20F5"/>
    <w:rsid w:val="006D59FA"/>
    <w:rsid w:val="006E01C2"/>
    <w:rsid w:val="006E4EC2"/>
    <w:rsid w:val="006E6B8E"/>
    <w:rsid w:val="006E77CB"/>
    <w:rsid w:val="006E7B74"/>
    <w:rsid w:val="006F03AB"/>
    <w:rsid w:val="006F1218"/>
    <w:rsid w:val="006F5D5B"/>
    <w:rsid w:val="006F74C9"/>
    <w:rsid w:val="006F7C64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16BB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D2B3F"/>
    <w:rsid w:val="008D2F6C"/>
    <w:rsid w:val="008D3768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D0EAA"/>
    <w:rsid w:val="009D3715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64B2E"/>
    <w:rsid w:val="00A64DF6"/>
    <w:rsid w:val="00A65173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71B5"/>
    <w:rsid w:val="00A772DF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FA9"/>
    <w:rsid w:val="00B86CFB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32A0"/>
    <w:rsid w:val="00DD39B8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2B6"/>
    <w:rsid w:val="00F17C8C"/>
    <w:rsid w:val="00F20A7C"/>
    <w:rsid w:val="00F21D1D"/>
    <w:rsid w:val="00F23E0A"/>
    <w:rsid w:val="00F248D8"/>
    <w:rsid w:val="00F24D03"/>
    <w:rsid w:val="00F25B89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27B0324D"/>
    <w:rsid w:val="30BEC534"/>
    <w:rsid w:val="3353F078"/>
    <w:rsid w:val="46ABD5EC"/>
    <w:rsid w:val="51DEF4EB"/>
    <w:rsid w:val="537AC54C"/>
    <w:rsid w:val="614FB408"/>
    <w:rsid w:val="62E8DBA8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ela.stefc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o.com/cz/c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restcom.cz/resources/f/1/4839/WILO_grafika_Nep%C5%99%C3%A1tel%C3%A9_odpad%C5%AF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40536-0611-4BC8-924E-5F349CC0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Natalie Zbuzková</cp:lastModifiedBy>
  <cp:revision>3</cp:revision>
  <cp:lastPrinted>2023-03-15T16:50:00Z</cp:lastPrinted>
  <dcterms:created xsi:type="dcterms:W3CDTF">2024-03-05T10:34:00Z</dcterms:created>
  <dcterms:modified xsi:type="dcterms:W3CDTF">2024-03-05T10:41:00Z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