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3F5" w14:textId="77777777" w:rsidR="005317C5" w:rsidRDefault="0098649E" w:rsidP="005317C5">
      <w:pPr>
        <w:pStyle w:val="Headline"/>
        <w:rPr>
          <w:lang w:val="en-GB"/>
        </w:rPr>
      </w:pPr>
      <w:bookmarkStart w:id="0" w:name="_Hlk120870042"/>
      <w:r w:rsidRPr="007871E2">
        <w:rPr>
          <w:lang w:val="en-GB"/>
        </w:rPr>
        <w:t>The Czech Republic Commercial Real Estate Market Outlook for 202</w:t>
      </w:r>
      <w:r>
        <w:rPr>
          <w:lang w:val="en-GB"/>
        </w:rPr>
        <w:t>4</w:t>
      </w:r>
    </w:p>
    <w:bookmarkEnd w:id="0"/>
    <w:p w14:paraId="1F6870B2" w14:textId="418B7A32" w:rsidR="007A6937" w:rsidRDefault="00C104A3" w:rsidP="007A6937">
      <w:pPr>
        <w:rPr>
          <w:color w:val="425254" w:themeColor="text1"/>
          <w:lang w:val="en-GB"/>
        </w:rPr>
      </w:pPr>
      <w:r>
        <w:rPr>
          <w:b/>
          <w:color w:val="425254" w:themeColor="text1"/>
          <w:lang w:val="en-GB"/>
        </w:rPr>
        <w:br/>
      </w:r>
      <w:r w:rsidR="0098649E">
        <w:rPr>
          <w:b/>
          <w:color w:val="425254" w:themeColor="text1"/>
          <w:lang w:val="en-GB"/>
        </w:rPr>
        <w:t xml:space="preserve">Prague – </w:t>
      </w:r>
      <w:r>
        <w:rPr>
          <w:b/>
          <w:color w:val="425254" w:themeColor="text1"/>
          <w:lang w:val="en-GB"/>
        </w:rPr>
        <w:t xml:space="preserve">13 </w:t>
      </w:r>
      <w:r w:rsidR="0098649E">
        <w:rPr>
          <w:b/>
          <w:color w:val="425254" w:themeColor="text1"/>
          <w:lang w:val="en-GB"/>
        </w:rPr>
        <w:t xml:space="preserve">December 2023 - </w:t>
      </w:r>
      <w:r w:rsidR="0098649E">
        <w:rPr>
          <w:color w:val="425254" w:themeColor="text1"/>
          <w:lang w:val="en-GB"/>
        </w:rPr>
        <w:t xml:space="preserve">CBRE, the world leader </w:t>
      </w:r>
      <w:r w:rsidR="00E0195D">
        <w:rPr>
          <w:color w:val="425254" w:themeColor="text1"/>
          <w:lang w:val="en-GB"/>
        </w:rPr>
        <w:t>in</w:t>
      </w:r>
      <w:r w:rsidR="0098649E">
        <w:rPr>
          <w:color w:val="425254" w:themeColor="text1"/>
          <w:lang w:val="en-GB"/>
        </w:rPr>
        <w:t xml:space="preserve"> commercial real estate services, summarises this year's developments in the Czech commercial real estate market and provides an up-to-date outlook for 202</w:t>
      </w:r>
      <w:r w:rsidR="00E0195D">
        <w:rPr>
          <w:color w:val="425254" w:themeColor="text1"/>
          <w:lang w:val="en-GB"/>
        </w:rPr>
        <w:t>4</w:t>
      </w:r>
      <w:r w:rsidR="00D66E32">
        <w:rPr>
          <w:color w:val="425254" w:themeColor="text1"/>
          <w:lang w:val="en-GB"/>
        </w:rPr>
        <w:t>. CBRE’s latest analysis addresses questions such as</w:t>
      </w:r>
      <w:r w:rsidR="0098649E">
        <w:rPr>
          <w:color w:val="425254" w:themeColor="text1"/>
          <w:lang w:val="en-GB"/>
        </w:rPr>
        <w:t xml:space="preserve"> </w:t>
      </w:r>
      <w:r w:rsidR="00D66E32">
        <w:rPr>
          <w:color w:val="425254" w:themeColor="text1"/>
          <w:lang w:val="en-GB"/>
        </w:rPr>
        <w:t>‘</w:t>
      </w:r>
      <w:r w:rsidR="0098649E">
        <w:rPr>
          <w:color w:val="425254" w:themeColor="text1"/>
          <w:lang w:val="en-GB"/>
        </w:rPr>
        <w:t>How is the current macroeconomic situation reflected in investment activity and other developments within the individual sectors, from</w:t>
      </w:r>
      <w:r w:rsidR="00B352BB">
        <w:rPr>
          <w:color w:val="425254" w:themeColor="text1"/>
          <w:lang w:val="en-GB"/>
        </w:rPr>
        <w:t> </w:t>
      </w:r>
      <w:r w:rsidR="0098649E">
        <w:rPr>
          <w:color w:val="425254" w:themeColor="text1"/>
          <w:lang w:val="en-GB"/>
        </w:rPr>
        <w:t>offices and industrial and logistics premises to retail real estate?</w:t>
      </w:r>
      <w:r w:rsidR="00D66E32">
        <w:rPr>
          <w:color w:val="425254" w:themeColor="text1"/>
          <w:lang w:val="en-GB"/>
        </w:rPr>
        <w:t>’</w:t>
      </w:r>
      <w:r w:rsidR="007C1AB6">
        <w:rPr>
          <w:color w:val="425254" w:themeColor="text1"/>
          <w:lang w:val="en-GB"/>
        </w:rPr>
        <w:t xml:space="preserve"> </w:t>
      </w:r>
    </w:p>
    <w:p w14:paraId="1D8813F8" w14:textId="77777777" w:rsidR="0030763F" w:rsidRDefault="0030763F" w:rsidP="00A5320F">
      <w:pPr>
        <w:rPr>
          <w:color w:val="425254" w:themeColor="text1"/>
          <w:lang w:val="cs-CZ"/>
        </w:rPr>
      </w:pPr>
    </w:p>
    <w:p w14:paraId="04B80D12" w14:textId="40BF13FA" w:rsidR="007A6937" w:rsidRDefault="0098649E" w:rsidP="00E4506D">
      <w:pPr>
        <w:rPr>
          <w:i/>
          <w:iCs/>
          <w:color w:val="425254" w:themeColor="text1"/>
          <w:lang w:val="en-GB"/>
        </w:rPr>
      </w:pPr>
      <w:r w:rsidRPr="009E1E17">
        <w:rPr>
          <w:b/>
          <w:color w:val="425254" w:themeColor="text1"/>
          <w:lang w:val="en-GB"/>
        </w:rPr>
        <w:t>Clare Sheils, Managing Director, CBRE Czech Republic</w:t>
      </w:r>
      <w:r>
        <w:rPr>
          <w:color w:val="425254" w:themeColor="text1"/>
          <w:lang w:val="en-GB"/>
        </w:rPr>
        <w:t xml:space="preserve">, comments: </w:t>
      </w:r>
      <w:r w:rsidRPr="009E1E17">
        <w:rPr>
          <w:i/>
          <w:iCs/>
          <w:color w:val="425254" w:themeColor="text1"/>
          <w:lang w:val="en-GB"/>
        </w:rPr>
        <w:t>“</w:t>
      </w:r>
      <w:r w:rsidR="00F31E94" w:rsidRPr="009E1E17">
        <w:rPr>
          <w:i/>
          <w:iCs/>
          <w:color w:val="425254" w:themeColor="text1"/>
          <w:lang w:val="en-GB"/>
        </w:rPr>
        <w:t>I</w:t>
      </w:r>
      <w:r w:rsidRPr="009E1E17">
        <w:rPr>
          <w:i/>
          <w:iCs/>
          <w:color w:val="425254" w:themeColor="text1"/>
          <w:lang w:val="en-GB"/>
        </w:rPr>
        <w:t>t is anticipated that the</w:t>
      </w:r>
      <w:r w:rsidR="00B352BB">
        <w:rPr>
          <w:i/>
          <w:iCs/>
          <w:color w:val="425254" w:themeColor="text1"/>
          <w:lang w:val="en-GB"/>
        </w:rPr>
        <w:t> </w:t>
      </w:r>
      <w:r w:rsidRPr="009E1E17">
        <w:rPr>
          <w:i/>
          <w:iCs/>
          <w:color w:val="425254" w:themeColor="text1"/>
          <w:lang w:val="en-GB"/>
        </w:rPr>
        <w:t xml:space="preserve">market will </w:t>
      </w:r>
      <w:r w:rsidR="004A3E0F">
        <w:rPr>
          <w:i/>
          <w:iCs/>
          <w:color w:val="425254" w:themeColor="text1"/>
          <w:lang w:val="en-GB"/>
        </w:rPr>
        <w:t xml:space="preserve">experience </w:t>
      </w:r>
      <w:r w:rsidRPr="009E1E17">
        <w:rPr>
          <w:i/>
          <w:iCs/>
          <w:color w:val="425254" w:themeColor="text1"/>
          <w:lang w:val="en-GB"/>
        </w:rPr>
        <w:t>transition from being perceived as a problem to an opportunity for many investors and funds</w:t>
      </w:r>
      <w:r w:rsidR="00260198">
        <w:rPr>
          <w:i/>
          <w:iCs/>
          <w:color w:val="425254" w:themeColor="text1"/>
          <w:lang w:val="en-GB"/>
        </w:rPr>
        <w:t xml:space="preserve"> in 2024</w:t>
      </w:r>
      <w:r w:rsidRPr="009E1E17">
        <w:rPr>
          <w:i/>
          <w:iCs/>
          <w:color w:val="425254" w:themeColor="text1"/>
          <w:lang w:val="en-GB"/>
        </w:rPr>
        <w:t xml:space="preserve">. This shift in sentiment </w:t>
      </w:r>
      <w:r w:rsidR="00E4506D" w:rsidRPr="009E1E17">
        <w:rPr>
          <w:i/>
          <w:iCs/>
          <w:color w:val="425254" w:themeColor="text1"/>
          <w:lang w:val="en-GB"/>
        </w:rPr>
        <w:t xml:space="preserve">that we are looking forward to in the second half of </w:t>
      </w:r>
      <w:r w:rsidR="00260198">
        <w:rPr>
          <w:i/>
          <w:iCs/>
          <w:color w:val="425254" w:themeColor="text1"/>
          <w:lang w:val="en-GB"/>
        </w:rPr>
        <w:t>the year</w:t>
      </w:r>
      <w:r w:rsidR="00E4506D" w:rsidRPr="009E1E17">
        <w:rPr>
          <w:i/>
          <w:iCs/>
          <w:color w:val="425254" w:themeColor="text1"/>
          <w:lang w:val="en-GB"/>
        </w:rPr>
        <w:t xml:space="preserve"> </w:t>
      </w:r>
      <w:r w:rsidRPr="009E1E17">
        <w:rPr>
          <w:i/>
          <w:iCs/>
          <w:color w:val="425254" w:themeColor="text1"/>
          <w:lang w:val="en-GB"/>
        </w:rPr>
        <w:t xml:space="preserve">may see the potential for growth and profitability </w:t>
      </w:r>
      <w:r w:rsidR="00E4506D" w:rsidRPr="009E1E17">
        <w:rPr>
          <w:i/>
          <w:iCs/>
          <w:color w:val="425254" w:themeColor="text1"/>
          <w:lang w:val="en-GB"/>
        </w:rPr>
        <w:t>for many players in the real estate sector as</w:t>
      </w:r>
      <w:r w:rsidR="00B352BB">
        <w:rPr>
          <w:i/>
          <w:iCs/>
          <w:color w:val="425254" w:themeColor="text1"/>
          <w:lang w:val="en-GB"/>
        </w:rPr>
        <w:t> </w:t>
      </w:r>
      <w:r w:rsidR="00E4506D" w:rsidRPr="009E1E17">
        <w:rPr>
          <w:i/>
          <w:iCs/>
          <w:color w:val="425254" w:themeColor="text1"/>
          <w:lang w:val="en-GB"/>
        </w:rPr>
        <w:t xml:space="preserve">the </w:t>
      </w:r>
      <w:r w:rsidR="00837C64" w:rsidRPr="009E1E17">
        <w:rPr>
          <w:i/>
          <w:iCs/>
          <w:color w:val="425254" w:themeColor="text1"/>
          <w:lang w:val="en-GB"/>
        </w:rPr>
        <w:t xml:space="preserve">market rebounds from the downturn. </w:t>
      </w:r>
      <w:r w:rsidR="00E21FEA" w:rsidRPr="009E1E17">
        <w:rPr>
          <w:i/>
          <w:iCs/>
          <w:color w:val="425254" w:themeColor="text1"/>
          <w:lang w:val="en-GB"/>
        </w:rPr>
        <w:t>In addition to the evolving market sentiment, it</w:t>
      </w:r>
      <w:r w:rsidR="00B352BB">
        <w:rPr>
          <w:i/>
          <w:iCs/>
          <w:color w:val="425254" w:themeColor="text1"/>
          <w:lang w:val="en-GB"/>
        </w:rPr>
        <w:t> </w:t>
      </w:r>
      <w:r w:rsidR="00E21FEA" w:rsidRPr="009E1E17">
        <w:rPr>
          <w:i/>
          <w:iCs/>
          <w:color w:val="425254" w:themeColor="text1"/>
          <w:lang w:val="en-GB"/>
        </w:rPr>
        <w:t>is</w:t>
      </w:r>
      <w:r w:rsidR="00B352BB">
        <w:rPr>
          <w:i/>
          <w:iCs/>
          <w:color w:val="425254" w:themeColor="text1"/>
          <w:lang w:val="en-GB"/>
        </w:rPr>
        <w:t> </w:t>
      </w:r>
      <w:r w:rsidR="00E21FEA" w:rsidRPr="009E1E17">
        <w:rPr>
          <w:i/>
          <w:iCs/>
          <w:color w:val="425254" w:themeColor="text1"/>
          <w:lang w:val="en-GB"/>
        </w:rPr>
        <w:t>increasingly important for commercial real estate owners to understand the potential impact of ESG factors on their assets, such as energy efficiency, carbon footprint, social impact, and ethical business practices. By proactively addressing these considerations, owners can align their investments with</w:t>
      </w:r>
      <w:r w:rsidR="00B352BB">
        <w:rPr>
          <w:i/>
          <w:iCs/>
          <w:color w:val="425254" w:themeColor="text1"/>
          <w:lang w:val="en-GB"/>
        </w:rPr>
        <w:t> </w:t>
      </w:r>
      <w:r w:rsidR="00E21FEA" w:rsidRPr="009E1E17">
        <w:rPr>
          <w:i/>
          <w:iCs/>
          <w:color w:val="425254" w:themeColor="text1"/>
          <w:lang w:val="en-GB"/>
        </w:rPr>
        <w:t>responsible practices and enhance the long-term value and attractiveness of their properties.</w:t>
      </w:r>
      <w:r w:rsidR="009E1E17">
        <w:rPr>
          <w:i/>
          <w:iCs/>
          <w:color w:val="425254" w:themeColor="text1"/>
          <w:lang w:val="en-GB"/>
        </w:rPr>
        <w:t>”</w:t>
      </w:r>
    </w:p>
    <w:p w14:paraId="1201213D" w14:textId="77777777" w:rsidR="004A3E0F" w:rsidRDefault="004A3E0F" w:rsidP="00A5320F">
      <w:pPr>
        <w:rPr>
          <w:color w:val="425254" w:themeColor="text1"/>
          <w:lang w:val="cs-CZ"/>
        </w:rPr>
      </w:pPr>
    </w:p>
    <w:p w14:paraId="30D4D3FE" w14:textId="079C19A8" w:rsidR="00254D6F" w:rsidRPr="007871E2" w:rsidRDefault="0098649E" w:rsidP="00254D6F">
      <w:pPr>
        <w:pStyle w:val="BodyCopy"/>
        <w:jc w:val="both"/>
        <w:rPr>
          <w:b/>
          <w:bCs/>
          <w:lang w:val="en-GB"/>
        </w:rPr>
      </w:pPr>
      <w:r>
        <w:rPr>
          <w:b/>
          <w:bCs/>
          <w:lang w:val="en-GB"/>
        </w:rPr>
        <w:t>Sustainability</w:t>
      </w:r>
      <w:r w:rsidRPr="007871E2">
        <w:rPr>
          <w:b/>
          <w:bCs/>
          <w:lang w:val="en-GB"/>
        </w:rPr>
        <w:t xml:space="preserve">: </w:t>
      </w:r>
      <w:r w:rsidR="005B5BCC">
        <w:rPr>
          <w:b/>
          <w:bCs/>
          <w:lang w:val="en-GB"/>
        </w:rPr>
        <w:t xml:space="preserve">talk of </w:t>
      </w:r>
      <w:r>
        <w:rPr>
          <w:b/>
          <w:bCs/>
          <w:lang w:val="en-GB"/>
        </w:rPr>
        <w:t>ESG turn</w:t>
      </w:r>
      <w:r w:rsidR="005B5BCC">
        <w:rPr>
          <w:b/>
          <w:bCs/>
          <w:lang w:val="en-GB"/>
        </w:rPr>
        <w:t>ing</w:t>
      </w:r>
      <w:r>
        <w:rPr>
          <w:b/>
          <w:bCs/>
          <w:lang w:val="en-GB"/>
        </w:rPr>
        <w:t xml:space="preserve"> into real action</w:t>
      </w:r>
      <w:r w:rsidR="00301D40" w:rsidRPr="007871E2">
        <w:rPr>
          <w:b/>
          <w:bCs/>
          <w:lang w:val="en-GB"/>
        </w:rPr>
        <w:t xml:space="preserve"> </w:t>
      </w:r>
      <w:r w:rsidRPr="007871E2">
        <w:rPr>
          <w:b/>
          <w:bCs/>
          <w:lang w:val="en-GB"/>
        </w:rPr>
        <w:t xml:space="preserve"> </w:t>
      </w:r>
    </w:p>
    <w:p w14:paraId="6BB49F2B" w14:textId="3DDA7B57" w:rsidR="00A02B6E" w:rsidRDefault="0098649E" w:rsidP="006C6044">
      <w:pPr>
        <w:pStyle w:val="BodyCopy"/>
        <w:rPr>
          <w:lang w:val="en-GB"/>
        </w:rPr>
      </w:pPr>
      <w:r w:rsidRPr="00A02B6E">
        <w:rPr>
          <w:lang w:val="en-GB"/>
        </w:rPr>
        <w:t>The growing interest in obtaining BREEAM</w:t>
      </w:r>
      <w:r w:rsidR="00CE7352">
        <w:rPr>
          <w:lang w:val="en-GB"/>
        </w:rPr>
        <w:t xml:space="preserve">, </w:t>
      </w:r>
      <w:r w:rsidRPr="00A02B6E">
        <w:rPr>
          <w:lang w:val="en-GB"/>
        </w:rPr>
        <w:t>LEED</w:t>
      </w:r>
      <w:r w:rsidR="00CE7352">
        <w:rPr>
          <w:lang w:val="en-GB"/>
        </w:rPr>
        <w:t xml:space="preserve"> or WELL</w:t>
      </w:r>
      <w:r w:rsidRPr="00A02B6E">
        <w:rPr>
          <w:lang w:val="en-GB"/>
        </w:rPr>
        <w:t xml:space="preserve"> certification for buildings is not just a</w:t>
      </w:r>
      <w:r w:rsidR="00B352BB">
        <w:rPr>
          <w:lang w:val="en-GB"/>
        </w:rPr>
        <w:t> </w:t>
      </w:r>
      <w:r w:rsidRPr="00A02B6E">
        <w:rPr>
          <w:lang w:val="en-GB"/>
        </w:rPr>
        <w:t>fleeting trend but a steadily expanding service within the ESG landscape. Companies are becoming progressively aware of the tangible benefits these certifications bring regarding cost efficiency and</w:t>
      </w:r>
      <w:r w:rsidR="00B352BB">
        <w:rPr>
          <w:lang w:val="en-GB"/>
        </w:rPr>
        <w:t> </w:t>
      </w:r>
      <w:r w:rsidRPr="00A02B6E">
        <w:rPr>
          <w:lang w:val="en-GB"/>
        </w:rPr>
        <w:t xml:space="preserve">environmental impact. As a result, the demand for these services is on a consistent upward trajectory. </w:t>
      </w:r>
    </w:p>
    <w:p w14:paraId="0B4B1582" w14:textId="77777777" w:rsidR="00A02B6E" w:rsidRDefault="00A02B6E" w:rsidP="006C6044">
      <w:pPr>
        <w:pStyle w:val="BodyCopy"/>
        <w:rPr>
          <w:lang w:val="en-GB"/>
        </w:rPr>
      </w:pPr>
    </w:p>
    <w:p w14:paraId="12D41D96" w14:textId="07520237" w:rsidR="00C104A3" w:rsidRDefault="0098649E" w:rsidP="006C6044">
      <w:pPr>
        <w:pStyle w:val="BodyCopy"/>
        <w:rPr>
          <w:lang w:val="en-GB"/>
        </w:rPr>
      </w:pPr>
      <w:r w:rsidRPr="00A02B6E">
        <w:rPr>
          <w:lang w:val="en-GB"/>
        </w:rPr>
        <w:t>Alongside the surge in interest for sustainability certifications, another prominent trend is the increasing demand for decarbonisation and Net Zero Carbon (NZC) studies. Businesses increasingly seek to create actionable investment CAPEX plans to meet their net-zero targets. This growing trend signifies a more profound commitment to environmental sustainability, directly impacting market strategies.</w:t>
      </w:r>
      <w:r w:rsidR="00B352BB">
        <w:rPr>
          <w:lang w:val="en-GB"/>
        </w:rPr>
        <w:t xml:space="preserve"> As we </w:t>
      </w:r>
      <w:r w:rsidRPr="00A02B6E">
        <w:rPr>
          <w:lang w:val="en-GB"/>
        </w:rPr>
        <w:t>progress, these studies are set to become a standard component in investment planning, shaping the</w:t>
      </w:r>
      <w:r w:rsidR="00B352BB">
        <w:rPr>
          <w:lang w:val="en-GB"/>
        </w:rPr>
        <w:t> </w:t>
      </w:r>
      <w:r w:rsidRPr="00A02B6E">
        <w:rPr>
          <w:lang w:val="en-GB"/>
        </w:rPr>
        <w:t>future of sustainable business practices.</w:t>
      </w:r>
      <w:r w:rsidR="00C104A3">
        <w:rPr>
          <w:lang w:val="en-GB"/>
        </w:rPr>
        <w:t xml:space="preserve"> </w:t>
      </w:r>
    </w:p>
    <w:p w14:paraId="34338F00" w14:textId="11FD09BC" w:rsidR="00895D5A" w:rsidRDefault="00895D5A" w:rsidP="006C6044">
      <w:pPr>
        <w:pStyle w:val="BodyCopy"/>
        <w:rPr>
          <w:lang w:val="en-GB"/>
        </w:rPr>
      </w:pPr>
    </w:p>
    <w:p w14:paraId="497E90DB" w14:textId="645CD85A" w:rsidR="00D203E5" w:rsidRPr="00D203E5" w:rsidRDefault="00C104A3" w:rsidP="0034641C">
      <w:pPr>
        <w:pStyle w:val="BodyCopy"/>
        <w:rPr>
          <w:i/>
          <w:iCs/>
          <w:lang w:val="en-GB"/>
        </w:rPr>
      </w:pPr>
      <w:r w:rsidRPr="00D203E5">
        <w:rPr>
          <w:b/>
          <w:lang w:val="en-GB"/>
        </w:rPr>
        <w:t xml:space="preserve">Martin </w:t>
      </w:r>
      <w:proofErr w:type="spellStart"/>
      <w:r w:rsidRPr="00D203E5">
        <w:rPr>
          <w:b/>
          <w:lang w:val="en-GB"/>
        </w:rPr>
        <w:t>Vejra</w:t>
      </w:r>
      <w:r>
        <w:rPr>
          <w:b/>
          <w:lang w:val="en-GB"/>
        </w:rPr>
        <w:t>ž</w:t>
      </w:r>
      <w:r w:rsidRPr="00D203E5">
        <w:rPr>
          <w:b/>
          <w:lang w:val="en-GB"/>
        </w:rPr>
        <w:t>ka</w:t>
      </w:r>
      <w:proofErr w:type="spellEnd"/>
      <w:r w:rsidRPr="00D203E5">
        <w:rPr>
          <w:b/>
          <w:lang w:val="en-GB"/>
        </w:rPr>
        <w:t xml:space="preserve">, Head of </w:t>
      </w:r>
      <w:r>
        <w:rPr>
          <w:b/>
          <w:lang w:val="en-GB"/>
        </w:rPr>
        <w:t>Sustainability</w:t>
      </w:r>
      <w:r w:rsidRPr="007871E2">
        <w:rPr>
          <w:lang w:val="en-GB"/>
        </w:rPr>
        <w:t>, describes:</w:t>
      </w:r>
      <w:r>
        <w:rPr>
          <w:lang w:val="en-GB"/>
        </w:rPr>
        <w:t xml:space="preserve"> </w:t>
      </w:r>
      <w:r w:rsidR="0098649E" w:rsidRPr="00D203E5">
        <w:rPr>
          <w:i/>
          <w:iCs/>
          <w:lang w:val="en-GB"/>
        </w:rPr>
        <w:t>"Looking ahead</w:t>
      </w:r>
      <w:r w:rsidR="0098649E" w:rsidRPr="00CE7352">
        <w:rPr>
          <w:i/>
          <w:iCs/>
          <w:lang w:val="en-GB"/>
        </w:rPr>
        <w:t xml:space="preserve">, all the factors </w:t>
      </w:r>
      <w:r w:rsidR="0098649E" w:rsidRPr="00D203E5">
        <w:rPr>
          <w:i/>
          <w:iCs/>
          <w:lang w:val="en-GB"/>
        </w:rPr>
        <w:t>- from the rising interest in BREEAM</w:t>
      </w:r>
      <w:r w:rsidR="00CE7352">
        <w:rPr>
          <w:i/>
          <w:iCs/>
          <w:lang w:val="en-GB"/>
        </w:rPr>
        <w:t>,</w:t>
      </w:r>
      <w:r w:rsidR="00E80DF9">
        <w:rPr>
          <w:i/>
          <w:iCs/>
          <w:lang w:val="en-GB"/>
        </w:rPr>
        <w:t xml:space="preserve"> </w:t>
      </w:r>
      <w:r w:rsidR="00CE7352">
        <w:rPr>
          <w:i/>
          <w:iCs/>
          <w:lang w:val="en-GB"/>
        </w:rPr>
        <w:t>L</w:t>
      </w:r>
      <w:r w:rsidR="0098649E" w:rsidRPr="00D203E5">
        <w:rPr>
          <w:i/>
          <w:iCs/>
          <w:lang w:val="en-GB"/>
        </w:rPr>
        <w:t xml:space="preserve">EED </w:t>
      </w:r>
      <w:r w:rsidR="00E80DF9">
        <w:rPr>
          <w:i/>
          <w:iCs/>
          <w:lang w:val="en-GB"/>
        </w:rPr>
        <w:t>and</w:t>
      </w:r>
      <w:r w:rsidR="00CE7352">
        <w:rPr>
          <w:i/>
          <w:iCs/>
          <w:lang w:val="en-GB"/>
        </w:rPr>
        <w:t xml:space="preserve"> WELL</w:t>
      </w:r>
      <w:r w:rsidR="001346FE">
        <w:rPr>
          <w:i/>
          <w:iCs/>
          <w:lang w:val="en-GB"/>
        </w:rPr>
        <w:t xml:space="preserve"> </w:t>
      </w:r>
      <w:r w:rsidR="0098649E" w:rsidRPr="00D203E5">
        <w:rPr>
          <w:i/>
          <w:iCs/>
          <w:lang w:val="en-GB"/>
        </w:rPr>
        <w:t>certifications, the increasing demand for decarbonisation and</w:t>
      </w:r>
      <w:r w:rsidR="00B352BB">
        <w:rPr>
          <w:i/>
          <w:iCs/>
          <w:lang w:val="en-GB"/>
        </w:rPr>
        <w:t> </w:t>
      </w:r>
      <w:r w:rsidR="0098649E" w:rsidRPr="00D203E5">
        <w:rPr>
          <w:i/>
          <w:iCs/>
          <w:lang w:val="en-GB"/>
        </w:rPr>
        <w:t>NZC studies, the importance of a robust ESG strategy, to the need for comprehensive emission and</w:t>
      </w:r>
      <w:r w:rsidR="00B352BB">
        <w:rPr>
          <w:i/>
          <w:iCs/>
          <w:lang w:val="en-GB"/>
        </w:rPr>
        <w:t> </w:t>
      </w:r>
      <w:r w:rsidR="0098649E" w:rsidRPr="00D203E5">
        <w:rPr>
          <w:i/>
          <w:iCs/>
          <w:lang w:val="en-GB"/>
        </w:rPr>
        <w:t>non-financial reporting - will undoubtedly gain even more prominence. This will be particularly influenced by the evolving legislative environment, notably the Corporate Sustainability Reporting Directive (CSRD)</w:t>
      </w:r>
      <w:r w:rsidR="00A009D6">
        <w:rPr>
          <w:i/>
          <w:iCs/>
          <w:lang w:val="en-GB"/>
        </w:rPr>
        <w:t xml:space="preserve"> and growing commitment to Net Zero targets on the landlord and occupier side</w:t>
      </w:r>
      <w:r w:rsidR="0098649E" w:rsidRPr="00D203E5">
        <w:rPr>
          <w:i/>
          <w:iCs/>
          <w:lang w:val="en-GB"/>
        </w:rPr>
        <w:t>. As</w:t>
      </w:r>
      <w:r w:rsidR="00B352BB">
        <w:rPr>
          <w:i/>
          <w:iCs/>
          <w:lang w:val="en-GB"/>
        </w:rPr>
        <w:t> </w:t>
      </w:r>
      <w:r w:rsidR="00E80DF9">
        <w:rPr>
          <w:i/>
          <w:iCs/>
          <w:lang w:val="en-GB"/>
        </w:rPr>
        <w:t xml:space="preserve">the </w:t>
      </w:r>
      <w:r w:rsidR="0098649E" w:rsidRPr="00D203E5">
        <w:rPr>
          <w:i/>
          <w:iCs/>
          <w:lang w:val="en-GB"/>
        </w:rPr>
        <w:t>CSRD's coverage expands in the coming years, it will further drive businesses towards sustainable practices, embedding ESG considerations even more deeply into the corporate landscape."</w:t>
      </w:r>
    </w:p>
    <w:p w14:paraId="1787FBED" w14:textId="77777777" w:rsidR="0082751C" w:rsidRDefault="0082751C" w:rsidP="006C6044">
      <w:pPr>
        <w:pStyle w:val="BodyCopy"/>
        <w:rPr>
          <w:lang w:val="en-GB"/>
        </w:rPr>
      </w:pPr>
    </w:p>
    <w:p w14:paraId="56D868D2" w14:textId="4BA26CD2" w:rsidR="001F0A13" w:rsidRDefault="0098649E" w:rsidP="001F0A13">
      <w:pPr>
        <w:pStyle w:val="BodyCopy"/>
        <w:jc w:val="both"/>
        <w:rPr>
          <w:b/>
          <w:bCs/>
          <w:color w:val="auto"/>
          <w:lang w:val="en-GB"/>
        </w:rPr>
      </w:pPr>
      <w:r w:rsidRPr="007871E2">
        <w:rPr>
          <w:b/>
          <w:bCs/>
          <w:lang w:val="en-GB"/>
        </w:rPr>
        <w:t xml:space="preserve">Investment market: </w:t>
      </w:r>
      <w:r w:rsidR="00C104A3" w:rsidRPr="00C104A3">
        <w:rPr>
          <w:b/>
          <w:bCs/>
          <w:lang w:val="en-GB"/>
        </w:rPr>
        <w:t>A changing market</w:t>
      </w:r>
    </w:p>
    <w:p w14:paraId="1C650604" w14:textId="77777777" w:rsidR="001F0A13" w:rsidRDefault="0098649E" w:rsidP="001F0A13">
      <w:pPr>
        <w:pStyle w:val="BodyCopy"/>
        <w:rPr>
          <w:lang w:val="en-GB"/>
        </w:rPr>
      </w:pPr>
      <w:bookmarkStart w:id="1" w:name="_Hlk151981928"/>
      <w:r w:rsidRPr="007871E2">
        <w:rPr>
          <w:lang w:val="en-GB"/>
        </w:rPr>
        <w:t xml:space="preserve">CBRE expects total Czech commercial real estate investment volumes to reach </w:t>
      </w:r>
      <w:r>
        <w:rPr>
          <w:lang w:val="en-GB"/>
        </w:rPr>
        <w:t xml:space="preserve">around </w:t>
      </w:r>
      <w:r w:rsidRPr="007871E2">
        <w:rPr>
          <w:lang w:val="en-GB"/>
        </w:rPr>
        <w:t>€1.</w:t>
      </w:r>
      <w:r>
        <w:rPr>
          <w:lang w:val="en-GB"/>
        </w:rPr>
        <w:t>5</w:t>
      </w:r>
      <w:r w:rsidRPr="007871E2">
        <w:rPr>
          <w:lang w:val="en-GB"/>
        </w:rPr>
        <w:t xml:space="preserve"> </w:t>
      </w:r>
      <w:proofErr w:type="spellStart"/>
      <w:r w:rsidRPr="007871E2">
        <w:rPr>
          <w:lang w:val="en-GB"/>
        </w:rPr>
        <w:t>bln</w:t>
      </w:r>
      <w:proofErr w:type="spellEnd"/>
      <w:r w:rsidRPr="007871E2">
        <w:rPr>
          <w:lang w:val="en-GB"/>
        </w:rPr>
        <w:t xml:space="preserve"> in 202</w:t>
      </w:r>
      <w:r>
        <w:rPr>
          <w:lang w:val="en-GB"/>
        </w:rPr>
        <w:t>4</w:t>
      </w:r>
      <w:r w:rsidRPr="007871E2">
        <w:rPr>
          <w:lang w:val="en-GB"/>
        </w:rPr>
        <w:t xml:space="preserve">, representing a </w:t>
      </w:r>
      <w:r>
        <w:rPr>
          <w:lang w:val="en-GB"/>
        </w:rPr>
        <w:t>15</w:t>
      </w:r>
      <w:r w:rsidRPr="007871E2">
        <w:rPr>
          <w:lang w:val="en-GB"/>
        </w:rPr>
        <w:t xml:space="preserve">% </w:t>
      </w:r>
      <w:r>
        <w:rPr>
          <w:lang w:val="en-GB"/>
        </w:rPr>
        <w:t xml:space="preserve">increase </w:t>
      </w:r>
      <w:r w:rsidRPr="007871E2">
        <w:rPr>
          <w:lang w:val="en-GB"/>
        </w:rPr>
        <w:t xml:space="preserve">y-o-y. </w:t>
      </w:r>
    </w:p>
    <w:p w14:paraId="6AA47A8D" w14:textId="77777777" w:rsidR="001F0A13" w:rsidRDefault="001F0A13" w:rsidP="001F0A13">
      <w:pPr>
        <w:pStyle w:val="BodyCopy"/>
        <w:rPr>
          <w:lang w:val="en-GB"/>
        </w:rPr>
      </w:pPr>
    </w:p>
    <w:p w14:paraId="42FE6EC8" w14:textId="4458963E" w:rsidR="001F0A13" w:rsidRDefault="0098649E" w:rsidP="001F0A13">
      <w:pPr>
        <w:pStyle w:val="BodyCopy"/>
        <w:rPr>
          <w:lang w:val="en-GB"/>
        </w:rPr>
      </w:pPr>
      <w:r>
        <w:rPr>
          <w:lang w:val="en-GB"/>
        </w:rPr>
        <w:lastRenderedPageBreak/>
        <w:t xml:space="preserve">Decreasing </w:t>
      </w:r>
      <w:r w:rsidRPr="007871E2">
        <w:rPr>
          <w:lang w:val="en-GB"/>
        </w:rPr>
        <w:t xml:space="preserve">investment activity </w:t>
      </w:r>
      <w:r>
        <w:rPr>
          <w:lang w:val="en-GB"/>
        </w:rPr>
        <w:t>beg</w:t>
      </w:r>
      <w:r w:rsidR="004319B8">
        <w:rPr>
          <w:lang w:val="en-GB"/>
        </w:rPr>
        <w:t>a</w:t>
      </w:r>
      <w:r>
        <w:rPr>
          <w:lang w:val="en-GB"/>
        </w:rPr>
        <w:t xml:space="preserve">n </w:t>
      </w:r>
      <w:r w:rsidRPr="007871E2">
        <w:rPr>
          <w:lang w:val="en-GB"/>
        </w:rPr>
        <w:t>in</w:t>
      </w:r>
      <w:r>
        <w:rPr>
          <w:lang w:val="en-GB"/>
        </w:rPr>
        <w:t xml:space="preserve"> 2021 when investment volumes </w:t>
      </w:r>
      <w:r w:rsidR="004319B8">
        <w:rPr>
          <w:lang w:val="en-GB"/>
        </w:rPr>
        <w:t>dipped</w:t>
      </w:r>
      <w:r>
        <w:rPr>
          <w:lang w:val="en-GB"/>
        </w:rPr>
        <w:t xml:space="preserve"> just below €2.0 </w:t>
      </w:r>
      <w:proofErr w:type="spellStart"/>
      <w:r>
        <w:rPr>
          <w:lang w:val="en-GB"/>
        </w:rPr>
        <w:t>bln</w:t>
      </w:r>
      <w:proofErr w:type="spellEnd"/>
      <w:r>
        <w:rPr>
          <w:lang w:val="en-GB"/>
        </w:rPr>
        <w:t xml:space="preserve"> and</w:t>
      </w:r>
      <w:r w:rsidR="00B352BB">
        <w:rPr>
          <w:lang w:val="en-GB"/>
        </w:rPr>
        <w:t> </w:t>
      </w:r>
      <w:r>
        <w:rPr>
          <w:lang w:val="en-GB"/>
        </w:rPr>
        <w:t xml:space="preserve">since </w:t>
      </w:r>
      <w:r w:rsidR="004319B8">
        <w:rPr>
          <w:lang w:val="en-GB"/>
        </w:rPr>
        <w:t xml:space="preserve">then have continued to </w:t>
      </w:r>
      <w:r>
        <w:rPr>
          <w:lang w:val="en-GB"/>
        </w:rPr>
        <w:t xml:space="preserve">fall 15-20% a year, with </w:t>
      </w:r>
      <w:r w:rsidRPr="007871E2">
        <w:rPr>
          <w:lang w:val="en-GB"/>
        </w:rPr>
        <w:t xml:space="preserve">transactions repriced or put on hold. </w:t>
      </w:r>
      <w:r w:rsidRPr="00BA496A">
        <w:rPr>
          <w:lang w:val="en-GB"/>
        </w:rPr>
        <w:t>This</w:t>
      </w:r>
      <w:r w:rsidR="00B352BB">
        <w:rPr>
          <w:lang w:val="en-GB"/>
        </w:rPr>
        <w:t> </w:t>
      </w:r>
      <w:r w:rsidRPr="00BA496A">
        <w:rPr>
          <w:lang w:val="en-GB"/>
        </w:rPr>
        <w:t>decrease in investment volume was triggered by increasing uncertainty in the economic forecast and a swift rise in financing costs, with EURIBOR swap rates experiencing an increase of over 300 basis points. These elevated borrowing costs resulted in a cap rate decompression across all European regions and property sectors. For instance, since then, Czech prime yields</w:t>
      </w:r>
      <w:r w:rsidR="004319B8">
        <w:rPr>
          <w:lang w:val="en-GB"/>
        </w:rPr>
        <w:t xml:space="preserve"> have</w:t>
      </w:r>
      <w:r w:rsidRPr="00BA496A">
        <w:rPr>
          <w:lang w:val="en-GB"/>
        </w:rPr>
        <w:t xml:space="preserve"> escalated across all sectors by</w:t>
      </w:r>
      <w:r w:rsidR="00B352BB">
        <w:rPr>
          <w:lang w:val="en-GB"/>
        </w:rPr>
        <w:t> </w:t>
      </w:r>
      <w:r w:rsidRPr="00BA496A">
        <w:rPr>
          <w:lang w:val="en-GB"/>
        </w:rPr>
        <w:t>50-100 basis points. Prime retail yields were the least impacted</w:t>
      </w:r>
      <w:r w:rsidR="004319B8">
        <w:rPr>
          <w:lang w:val="en-GB"/>
        </w:rPr>
        <w:t>,</w:t>
      </w:r>
      <w:r w:rsidRPr="00BA496A">
        <w:rPr>
          <w:lang w:val="en-GB"/>
        </w:rPr>
        <w:t xml:space="preserve"> as some adjustments were already made during the Covid period.</w:t>
      </w:r>
      <w:r>
        <w:rPr>
          <w:lang w:val="en-GB"/>
        </w:rPr>
        <w:t xml:space="preserve"> </w:t>
      </w:r>
    </w:p>
    <w:p w14:paraId="22B8BD99" w14:textId="77777777" w:rsidR="00AC4EAD" w:rsidRDefault="00AC4EAD" w:rsidP="001F0A13">
      <w:pPr>
        <w:pStyle w:val="BodyCopy"/>
        <w:rPr>
          <w:lang w:val="cs-CZ"/>
        </w:rPr>
      </w:pPr>
    </w:p>
    <w:p w14:paraId="551A013C" w14:textId="362E36EE" w:rsidR="001F0A13" w:rsidRDefault="0098649E" w:rsidP="001F0A13">
      <w:pPr>
        <w:pStyle w:val="BodyCopy"/>
        <w:rPr>
          <w:lang w:val="en-GB"/>
        </w:rPr>
      </w:pPr>
      <w:r w:rsidRPr="00614778">
        <w:rPr>
          <w:lang w:val="en-GB"/>
        </w:rPr>
        <w:t xml:space="preserve">Nonetheless, the current situation presents a glimmer of hope, with initial indications of inflation being managed and </w:t>
      </w:r>
      <w:r w:rsidR="004319B8">
        <w:rPr>
          <w:lang w:val="en-GB"/>
        </w:rPr>
        <w:t xml:space="preserve">a </w:t>
      </w:r>
      <w:r w:rsidRPr="00614778">
        <w:rPr>
          <w:lang w:val="en-GB"/>
        </w:rPr>
        <w:t>potential reduction in interest rates. This provides a golden opportunity for real estate investors to capitali</w:t>
      </w:r>
      <w:r w:rsidR="004319B8">
        <w:rPr>
          <w:lang w:val="en-GB"/>
        </w:rPr>
        <w:t>s</w:t>
      </w:r>
      <w:r w:rsidRPr="00614778">
        <w:rPr>
          <w:lang w:val="en-GB"/>
        </w:rPr>
        <w:t>e on market risks, primarily reflected in pricing expectations, prior to a shift in</w:t>
      </w:r>
      <w:r w:rsidR="00B352BB">
        <w:rPr>
          <w:lang w:val="en-GB"/>
        </w:rPr>
        <w:t> </w:t>
      </w:r>
      <w:r w:rsidRPr="00614778">
        <w:rPr>
          <w:lang w:val="en-GB"/>
        </w:rPr>
        <w:t>sentiment.</w:t>
      </w:r>
      <w:r w:rsidRPr="007871E2">
        <w:rPr>
          <w:lang w:val="en-GB"/>
        </w:rPr>
        <w:t xml:space="preserve"> </w:t>
      </w:r>
    </w:p>
    <w:p w14:paraId="24EE22F8" w14:textId="77777777" w:rsidR="00B705C4" w:rsidRDefault="00B705C4" w:rsidP="001F0A13">
      <w:pPr>
        <w:pStyle w:val="BodyCopy"/>
        <w:rPr>
          <w:lang w:val="cs-CZ"/>
        </w:rPr>
      </w:pPr>
    </w:p>
    <w:bookmarkEnd w:id="1"/>
    <w:p w14:paraId="5618019F" w14:textId="317B4106" w:rsidR="00A5320F" w:rsidRDefault="0098649E" w:rsidP="001F0A13">
      <w:pPr>
        <w:pStyle w:val="BodyCopy"/>
        <w:rPr>
          <w:i/>
          <w:iCs/>
          <w:lang w:val="en-GB"/>
        </w:rPr>
      </w:pPr>
      <w:r>
        <w:rPr>
          <w:b/>
          <w:lang w:val="en-GB"/>
        </w:rPr>
        <w:t>Jakub Stanislav, Head of Investment properties</w:t>
      </w:r>
      <w:r w:rsidRPr="007871E2">
        <w:rPr>
          <w:lang w:val="en-GB"/>
        </w:rPr>
        <w:t xml:space="preserve">, adds: </w:t>
      </w:r>
      <w:r w:rsidRPr="007871E2">
        <w:rPr>
          <w:i/>
          <w:iCs/>
          <w:lang w:val="en-GB"/>
        </w:rPr>
        <w:t>“</w:t>
      </w:r>
      <w:r w:rsidRPr="00953540">
        <w:rPr>
          <w:i/>
          <w:iCs/>
          <w:lang w:val="en-GB"/>
        </w:rPr>
        <w:t>The real estate market in the Czech Republic projects long-term stability, with no significant changes anticipated. This is reinforced by Moody's recent upgrade of its outlook on the Czech Republic from "negative" to "stable"</w:t>
      </w:r>
      <w:r w:rsidR="00723C6E">
        <w:rPr>
          <w:i/>
          <w:iCs/>
          <w:lang w:val="en-GB"/>
        </w:rPr>
        <w:t>,</w:t>
      </w:r>
      <w:r w:rsidRPr="00953540">
        <w:rPr>
          <w:i/>
          <w:iCs/>
          <w:lang w:val="en-GB"/>
        </w:rPr>
        <w:t xml:space="preserve"> signalling improved economic expectations. The global real estate industry is poised for a pivotal year, with opportunities for rebuilding on a stronger foundation. This comes in the aftermath of the pandemic-induced shift in</w:t>
      </w:r>
      <w:r w:rsidR="00B352BB">
        <w:rPr>
          <w:i/>
          <w:iCs/>
          <w:lang w:val="en-GB"/>
        </w:rPr>
        <w:t> </w:t>
      </w:r>
      <w:r w:rsidRPr="00953540">
        <w:rPr>
          <w:i/>
          <w:iCs/>
          <w:lang w:val="en-GB"/>
        </w:rPr>
        <w:t>work habits, geopolitical uncertainties, and financial market instability. On a promising note, the</w:t>
      </w:r>
      <w:r w:rsidR="00B352BB">
        <w:rPr>
          <w:i/>
          <w:iCs/>
          <w:lang w:val="en-GB"/>
        </w:rPr>
        <w:t> </w:t>
      </w:r>
      <w:r w:rsidRPr="00953540">
        <w:rPr>
          <w:i/>
          <w:iCs/>
          <w:lang w:val="en-GB"/>
        </w:rPr>
        <w:t xml:space="preserve">worst of inflation appears to be behind us, potentially causing the European Central Bank to halt interest rate hikes. </w:t>
      </w:r>
      <w:r w:rsidR="0003361C">
        <w:rPr>
          <w:i/>
          <w:iCs/>
          <w:lang w:val="en-GB"/>
        </w:rPr>
        <w:t>F</w:t>
      </w:r>
      <w:r w:rsidRPr="00953540">
        <w:rPr>
          <w:i/>
          <w:iCs/>
          <w:lang w:val="en-GB"/>
        </w:rPr>
        <w:t>irst rate cuts are expected in mid-2024. After the price falls of the past 18 months, the market risks are largely accounted for. The era of equities being the only viable alternative is</w:t>
      </w:r>
      <w:r w:rsidR="00B352BB">
        <w:rPr>
          <w:i/>
          <w:iCs/>
          <w:lang w:val="en-GB"/>
        </w:rPr>
        <w:t> </w:t>
      </w:r>
      <w:r w:rsidRPr="00953540">
        <w:rPr>
          <w:i/>
          <w:iCs/>
          <w:lang w:val="en-GB"/>
        </w:rPr>
        <w:t>nearing its end. As per the expectations of CBRE, a positive outlook is predicted for 2024, reflected in</w:t>
      </w:r>
      <w:r w:rsidR="00B352BB">
        <w:rPr>
          <w:i/>
          <w:iCs/>
          <w:lang w:val="en-GB"/>
        </w:rPr>
        <w:t> </w:t>
      </w:r>
      <w:r w:rsidRPr="00953540">
        <w:rPr>
          <w:i/>
          <w:iCs/>
          <w:lang w:val="en-GB"/>
        </w:rPr>
        <w:t>a projected increase in total investment volumes by 15%</w:t>
      </w:r>
      <w:r>
        <w:rPr>
          <w:i/>
          <w:iCs/>
          <w:lang w:val="en-GB"/>
        </w:rPr>
        <w:t>.”</w:t>
      </w:r>
      <w:r w:rsidR="00A5320F">
        <w:rPr>
          <w:i/>
          <w:iCs/>
          <w:lang w:val="en-GB"/>
        </w:rPr>
        <w:t xml:space="preserve"> </w:t>
      </w:r>
    </w:p>
    <w:p w14:paraId="0906C742" w14:textId="77777777" w:rsidR="00A5320F" w:rsidRDefault="00A5320F" w:rsidP="001F0A13">
      <w:pPr>
        <w:pStyle w:val="BodyCopy"/>
        <w:rPr>
          <w:rFonts w:ascii="Segoe UI" w:hAnsi="Segoe UI" w:cs="Segoe UI"/>
          <w:color w:val="7F8481"/>
          <w:sz w:val="18"/>
          <w:szCs w:val="18"/>
          <w:lang w:val="cs-CZ" w:eastAsia="cs-CZ"/>
        </w:rPr>
      </w:pPr>
    </w:p>
    <w:p w14:paraId="790F5450" w14:textId="77777777" w:rsidR="008D21E0" w:rsidRDefault="0098649E" w:rsidP="008D21E0">
      <w:pPr>
        <w:pStyle w:val="BodyCopy"/>
        <w:jc w:val="both"/>
        <w:rPr>
          <w:b/>
          <w:bCs/>
          <w:lang w:val="en-GB"/>
        </w:rPr>
      </w:pPr>
      <w:r>
        <w:rPr>
          <w:b/>
          <w:bCs/>
          <w:lang w:val="en-GB"/>
        </w:rPr>
        <w:t>Office market: flexible offices on the rise</w:t>
      </w:r>
    </w:p>
    <w:p w14:paraId="5F75F328" w14:textId="430C55E1" w:rsidR="00E42F12" w:rsidRDefault="009E244F" w:rsidP="00E42F12">
      <w:pPr>
        <w:rPr>
          <w:color w:val="425254" w:themeColor="text1"/>
          <w:lang w:val="en-GB"/>
        </w:rPr>
      </w:pPr>
      <w:r w:rsidRPr="009E244F">
        <w:rPr>
          <w:color w:val="425254" w:themeColor="text1"/>
          <w:lang w:val="en-GB"/>
        </w:rPr>
        <w:t>During the first three quarters of 2023, CBRE monitored a slowdown in office leasing activity in Prague compared to the same period last year, in line with trends visible across Europe. In 2023</w:t>
      </w:r>
      <w:r w:rsidR="00AB40C9">
        <w:rPr>
          <w:color w:val="425254" w:themeColor="text1"/>
          <w:lang w:val="en-GB"/>
        </w:rPr>
        <w:t>,</w:t>
      </w:r>
      <w:r w:rsidRPr="009E244F">
        <w:rPr>
          <w:color w:val="425254" w:themeColor="text1"/>
          <w:lang w:val="en-GB"/>
        </w:rPr>
        <w:t xml:space="preserve"> we expect to</w:t>
      </w:r>
      <w:r w:rsidR="00B352BB">
        <w:rPr>
          <w:color w:val="425254" w:themeColor="text1"/>
          <w:lang w:val="en-GB"/>
        </w:rPr>
        <w:t> </w:t>
      </w:r>
      <w:r w:rsidRPr="009E244F">
        <w:rPr>
          <w:color w:val="425254" w:themeColor="text1"/>
          <w:lang w:val="en-GB"/>
        </w:rPr>
        <w:t>see a 15-20% reduction in take-up y-o-y.</w:t>
      </w:r>
      <w:r>
        <w:rPr>
          <w:color w:val="425254" w:themeColor="text1"/>
          <w:lang w:val="en-GB"/>
        </w:rPr>
        <w:t xml:space="preserve"> </w:t>
      </w:r>
      <w:r w:rsidR="00E42F12" w:rsidRPr="00037FA3">
        <w:rPr>
          <w:color w:val="425254" w:themeColor="text1"/>
          <w:lang w:val="en-GB"/>
        </w:rPr>
        <w:t xml:space="preserve">Going forward, we </w:t>
      </w:r>
      <w:r w:rsidR="00E42F12">
        <w:rPr>
          <w:color w:val="425254" w:themeColor="text1"/>
          <w:lang w:val="en-GB"/>
        </w:rPr>
        <w:t xml:space="preserve">anticipate </w:t>
      </w:r>
      <w:r w:rsidR="00E42F12" w:rsidRPr="00037FA3">
        <w:rPr>
          <w:color w:val="425254" w:themeColor="text1"/>
          <w:lang w:val="en-GB"/>
        </w:rPr>
        <w:t xml:space="preserve">stable demand for office space in high quality, sustainable projects to continue. However, some of </w:t>
      </w:r>
      <w:r w:rsidR="00E42F12">
        <w:rPr>
          <w:color w:val="425254" w:themeColor="text1"/>
          <w:lang w:val="en-GB"/>
        </w:rPr>
        <w:t>this</w:t>
      </w:r>
      <w:r w:rsidR="00E42F12" w:rsidRPr="00037FA3">
        <w:rPr>
          <w:color w:val="425254" w:themeColor="text1"/>
          <w:lang w:val="en-GB"/>
        </w:rPr>
        <w:t xml:space="preserve"> demand will be offset by the</w:t>
      </w:r>
      <w:r w:rsidR="00B352BB">
        <w:rPr>
          <w:color w:val="425254" w:themeColor="text1"/>
          <w:lang w:val="en-GB"/>
        </w:rPr>
        <w:t> </w:t>
      </w:r>
      <w:r w:rsidR="00E42F12" w:rsidRPr="00037FA3">
        <w:rPr>
          <w:color w:val="425254" w:themeColor="text1"/>
          <w:lang w:val="en-GB"/>
        </w:rPr>
        <w:t xml:space="preserve">gradual return of secondary space, a trend </w:t>
      </w:r>
      <w:r w:rsidR="00E42F12">
        <w:rPr>
          <w:color w:val="425254" w:themeColor="text1"/>
          <w:lang w:val="en-GB"/>
        </w:rPr>
        <w:t xml:space="preserve">we </w:t>
      </w:r>
      <w:r w:rsidR="00E42F12" w:rsidRPr="00037FA3">
        <w:rPr>
          <w:color w:val="425254" w:themeColor="text1"/>
          <w:lang w:val="en-GB"/>
        </w:rPr>
        <w:t xml:space="preserve">observe especially among </w:t>
      </w:r>
      <w:r w:rsidR="00E42F12">
        <w:rPr>
          <w:color w:val="425254" w:themeColor="text1"/>
          <w:lang w:val="en-GB"/>
        </w:rPr>
        <w:t xml:space="preserve">the </w:t>
      </w:r>
      <w:r w:rsidR="00E42F12" w:rsidRPr="00037FA3">
        <w:rPr>
          <w:color w:val="425254" w:themeColor="text1"/>
          <w:lang w:val="en-GB"/>
        </w:rPr>
        <w:t>large</w:t>
      </w:r>
      <w:r w:rsidR="00E42F12">
        <w:rPr>
          <w:color w:val="425254" w:themeColor="text1"/>
          <w:lang w:val="en-GB"/>
        </w:rPr>
        <w:t>st</w:t>
      </w:r>
      <w:r w:rsidR="00E42F12" w:rsidRPr="00037FA3">
        <w:rPr>
          <w:color w:val="425254" w:themeColor="text1"/>
          <w:lang w:val="en-GB"/>
        </w:rPr>
        <w:t xml:space="preserve"> tenants. </w:t>
      </w:r>
    </w:p>
    <w:p w14:paraId="597DF562" w14:textId="77777777" w:rsidR="00E42F12" w:rsidRDefault="00E42F12" w:rsidP="008D21E0">
      <w:pPr>
        <w:rPr>
          <w:color w:val="425254" w:themeColor="text1"/>
          <w:lang w:val="en-GB"/>
        </w:rPr>
      </w:pPr>
    </w:p>
    <w:p w14:paraId="5A228AD6" w14:textId="0CA204DC" w:rsidR="00C104A3" w:rsidRPr="00C15AA5" w:rsidRDefault="0098649E" w:rsidP="008D21E0">
      <w:pPr>
        <w:rPr>
          <w:color w:val="425254" w:themeColor="text1"/>
          <w:highlight w:val="cyan"/>
          <w:lang w:val="en-GB"/>
        </w:rPr>
      </w:pPr>
      <w:r>
        <w:rPr>
          <w:color w:val="425254" w:themeColor="text1"/>
          <w:lang w:val="en-GB"/>
        </w:rPr>
        <w:t>At present</w:t>
      </w:r>
      <w:r w:rsidR="00360ED6">
        <w:rPr>
          <w:color w:val="425254" w:themeColor="text1"/>
          <w:lang w:val="en-GB"/>
        </w:rPr>
        <w:t>,</w:t>
      </w:r>
      <w:r>
        <w:rPr>
          <w:color w:val="425254" w:themeColor="text1"/>
          <w:lang w:val="en-GB"/>
        </w:rPr>
        <w:t xml:space="preserve"> there are only a few</w:t>
      </w:r>
      <w:r w:rsidRPr="00037FA3">
        <w:rPr>
          <w:color w:val="425254" w:themeColor="text1"/>
          <w:lang w:val="en-GB"/>
        </w:rPr>
        <w:t xml:space="preserve"> new </w:t>
      </w:r>
      <w:r w:rsidR="00CE3EA5">
        <w:rPr>
          <w:color w:val="425254" w:themeColor="text1"/>
          <w:lang w:val="en-GB"/>
        </w:rPr>
        <w:t xml:space="preserve">occupiers </w:t>
      </w:r>
      <w:r w:rsidRPr="00037FA3">
        <w:rPr>
          <w:color w:val="425254" w:themeColor="text1"/>
          <w:lang w:val="en-GB"/>
        </w:rPr>
        <w:t xml:space="preserve">entering </w:t>
      </w:r>
      <w:r>
        <w:rPr>
          <w:color w:val="425254" w:themeColor="text1"/>
          <w:lang w:val="en-GB"/>
        </w:rPr>
        <w:t xml:space="preserve">the </w:t>
      </w:r>
      <w:r w:rsidRPr="00037FA3">
        <w:rPr>
          <w:color w:val="425254" w:themeColor="text1"/>
          <w:lang w:val="en-GB"/>
        </w:rPr>
        <w:t xml:space="preserve">Prague office market, and </w:t>
      </w:r>
      <w:r>
        <w:rPr>
          <w:color w:val="425254" w:themeColor="text1"/>
          <w:lang w:val="en-GB"/>
        </w:rPr>
        <w:t>newcomers</w:t>
      </w:r>
      <w:r w:rsidRPr="00037FA3">
        <w:rPr>
          <w:color w:val="425254" w:themeColor="text1"/>
          <w:lang w:val="en-GB"/>
        </w:rPr>
        <w:t xml:space="preserve"> tend</w:t>
      </w:r>
      <w:r>
        <w:rPr>
          <w:color w:val="425254" w:themeColor="text1"/>
          <w:lang w:val="en-GB"/>
        </w:rPr>
        <w:t xml:space="preserve"> to start up in </w:t>
      </w:r>
      <w:r w:rsidRPr="00037FA3">
        <w:rPr>
          <w:color w:val="425254" w:themeColor="text1"/>
          <w:lang w:val="en-GB"/>
        </w:rPr>
        <w:t>flexible office</w:t>
      </w:r>
      <w:r>
        <w:rPr>
          <w:color w:val="425254" w:themeColor="text1"/>
          <w:lang w:val="en-GB"/>
        </w:rPr>
        <w:t xml:space="preserve"> space</w:t>
      </w:r>
      <w:r w:rsidRPr="00037FA3">
        <w:rPr>
          <w:color w:val="425254" w:themeColor="text1"/>
          <w:lang w:val="en-GB"/>
        </w:rPr>
        <w:t xml:space="preserve">. The flex market in Prague is now </w:t>
      </w:r>
      <w:r>
        <w:rPr>
          <w:color w:val="425254" w:themeColor="text1"/>
          <w:lang w:val="en-GB"/>
        </w:rPr>
        <w:t xml:space="preserve">experiencing </w:t>
      </w:r>
      <w:r w:rsidRPr="00037FA3">
        <w:rPr>
          <w:color w:val="425254" w:themeColor="text1"/>
          <w:lang w:val="en-GB"/>
        </w:rPr>
        <w:t xml:space="preserve">robust </w:t>
      </w:r>
      <w:r>
        <w:rPr>
          <w:color w:val="425254" w:themeColor="text1"/>
          <w:lang w:val="en-GB"/>
        </w:rPr>
        <w:t xml:space="preserve">levels of </w:t>
      </w:r>
      <w:r w:rsidRPr="00037FA3">
        <w:rPr>
          <w:color w:val="425254" w:themeColor="text1"/>
          <w:lang w:val="en-GB"/>
        </w:rPr>
        <w:t>interest from occupiers, and demand outstrips supply. Operators are struggling to find suitable premises for</w:t>
      </w:r>
      <w:r w:rsidR="00B352BB">
        <w:rPr>
          <w:color w:val="425254" w:themeColor="text1"/>
          <w:lang w:val="en-GB"/>
        </w:rPr>
        <w:t> </w:t>
      </w:r>
      <w:r w:rsidRPr="009D1ED5">
        <w:rPr>
          <w:color w:val="425254" w:themeColor="text1"/>
          <w:lang w:val="en-GB"/>
        </w:rPr>
        <w:t>expansion, and the rise of flexible offices will continue through 2024.</w:t>
      </w:r>
    </w:p>
    <w:p w14:paraId="645350E3" w14:textId="77777777" w:rsidR="00C104A3" w:rsidRDefault="00C104A3" w:rsidP="008D21E0">
      <w:pPr>
        <w:rPr>
          <w:color w:val="425254" w:themeColor="text1"/>
          <w:lang w:val="en-GB"/>
        </w:rPr>
      </w:pPr>
    </w:p>
    <w:p w14:paraId="432D3A17" w14:textId="554546DE" w:rsidR="00E74A1F" w:rsidRDefault="00C104A3" w:rsidP="00E74A1F">
      <w:pPr>
        <w:rPr>
          <w:rFonts w:ascii="Calibre-Regular" w:hAnsi="Calibre-Regular" w:cs="Calibri"/>
          <w:color w:val="435254"/>
          <w:sz w:val="20"/>
          <w:szCs w:val="20"/>
          <w:lang w:eastAsia="en-GB"/>
        </w:rPr>
      </w:pPr>
      <w:r w:rsidRPr="00C104A3">
        <w:rPr>
          <w:color w:val="425254" w:themeColor="text1"/>
          <w:lang w:val="en-GB"/>
        </w:rPr>
        <w:t>Since Q3 2022, no new office construction has started on the market, and we expect a supply gap during late 2024 and onwards into 2025. Whereas for 2024, app</w:t>
      </w:r>
      <w:r w:rsidR="00AB40C9">
        <w:rPr>
          <w:color w:val="425254" w:themeColor="text1"/>
          <w:lang w:val="en-GB"/>
        </w:rPr>
        <w:t>rox</w:t>
      </w:r>
      <w:r w:rsidRPr="00C104A3">
        <w:rPr>
          <w:color w:val="425254" w:themeColor="text1"/>
          <w:lang w:val="en-GB"/>
        </w:rPr>
        <w:t xml:space="preserve">. 80,000 </w:t>
      </w:r>
      <w:proofErr w:type="spellStart"/>
      <w:r w:rsidRPr="00C104A3">
        <w:rPr>
          <w:color w:val="425254" w:themeColor="text1"/>
          <w:lang w:val="en-GB"/>
        </w:rPr>
        <w:t>sq</w:t>
      </w:r>
      <w:proofErr w:type="spellEnd"/>
      <w:r w:rsidRPr="00C104A3">
        <w:rPr>
          <w:color w:val="425254" w:themeColor="text1"/>
          <w:lang w:val="en-GB"/>
        </w:rPr>
        <w:t xml:space="preserve"> m is scheduled to be</w:t>
      </w:r>
      <w:r>
        <w:rPr>
          <w:color w:val="425254" w:themeColor="text1"/>
          <w:lang w:val="en-GB"/>
        </w:rPr>
        <w:t xml:space="preserve"> </w:t>
      </w:r>
      <w:r w:rsidR="0098649E" w:rsidRPr="00F747E4">
        <w:rPr>
          <w:color w:val="425254" w:themeColor="text1"/>
          <w:lang w:val="en-GB"/>
        </w:rPr>
        <w:t xml:space="preserve">delivered, in 2025 new supply could drop to </w:t>
      </w:r>
      <w:r w:rsidR="0098649E">
        <w:rPr>
          <w:color w:val="425254" w:themeColor="text1"/>
          <w:lang w:val="en-GB"/>
        </w:rPr>
        <w:t xml:space="preserve">just </w:t>
      </w:r>
      <w:r w:rsidR="0098649E" w:rsidRPr="00F747E4">
        <w:rPr>
          <w:color w:val="425254" w:themeColor="text1"/>
          <w:lang w:val="en-GB"/>
        </w:rPr>
        <w:t xml:space="preserve">28,000 </w:t>
      </w:r>
      <w:proofErr w:type="spellStart"/>
      <w:r w:rsidR="0098649E" w:rsidRPr="00F747E4">
        <w:rPr>
          <w:color w:val="425254" w:themeColor="text1"/>
          <w:lang w:val="en-GB"/>
        </w:rPr>
        <w:t>sq</w:t>
      </w:r>
      <w:proofErr w:type="spellEnd"/>
      <w:r w:rsidR="0098649E" w:rsidRPr="00F747E4">
        <w:rPr>
          <w:color w:val="425254" w:themeColor="text1"/>
          <w:lang w:val="en-GB"/>
        </w:rPr>
        <w:t xml:space="preserve"> m.</w:t>
      </w:r>
      <w:r w:rsidR="00E74A1F" w:rsidRPr="00E74A1F">
        <w:rPr>
          <w:color w:val="425254" w:themeColor="text1"/>
          <w:lang w:val="en-GB"/>
        </w:rPr>
        <w:t xml:space="preserve"> </w:t>
      </w:r>
      <w:r w:rsidR="00E74A1F" w:rsidRPr="00F747E4">
        <w:rPr>
          <w:color w:val="425254" w:themeColor="text1"/>
          <w:lang w:val="en-GB"/>
        </w:rPr>
        <w:t>Based on our analysis of ongoing transactions, tenants are</w:t>
      </w:r>
      <w:r w:rsidR="00E74A1F">
        <w:rPr>
          <w:color w:val="425254" w:themeColor="text1"/>
          <w:lang w:val="en-GB"/>
        </w:rPr>
        <w:t xml:space="preserve"> </w:t>
      </w:r>
      <w:r w:rsidR="00E74A1F" w:rsidRPr="00F747E4">
        <w:rPr>
          <w:color w:val="425254" w:themeColor="text1"/>
          <w:lang w:val="en-GB"/>
        </w:rPr>
        <w:t xml:space="preserve">giving back </w:t>
      </w:r>
      <w:r w:rsidR="00E74A1F">
        <w:rPr>
          <w:color w:val="425254" w:themeColor="text1"/>
          <w:lang w:val="en-GB"/>
        </w:rPr>
        <w:t>on average 15-</w:t>
      </w:r>
      <w:r w:rsidR="00E74A1F" w:rsidRPr="00F747E4">
        <w:rPr>
          <w:color w:val="425254" w:themeColor="text1"/>
          <w:lang w:val="en-GB"/>
        </w:rPr>
        <w:t>20% of their space. We believe the market will be able to absorb these secondary spaces. Limited new deliveries will keep the vacancy level around 8% in the coming quarters.</w:t>
      </w:r>
      <w:r w:rsidR="00E74A1F">
        <w:rPr>
          <w:rFonts w:ascii="Calibre-Regular" w:hAnsi="Calibre-Regular" w:cs="Calibri"/>
          <w:color w:val="435254"/>
          <w:sz w:val="20"/>
          <w:szCs w:val="20"/>
          <w:lang w:eastAsia="en-GB"/>
        </w:rPr>
        <w:t xml:space="preserve"> </w:t>
      </w:r>
    </w:p>
    <w:p w14:paraId="520F77CB" w14:textId="391A6337" w:rsidR="008D21E0" w:rsidRDefault="008D21E0" w:rsidP="008D21E0">
      <w:pPr>
        <w:rPr>
          <w:color w:val="425254" w:themeColor="text1"/>
          <w:lang w:val="en-GB"/>
        </w:rPr>
      </w:pPr>
    </w:p>
    <w:p w14:paraId="7744B056" w14:textId="77777777" w:rsidR="008D21E0" w:rsidRDefault="008D21E0" w:rsidP="008D21E0">
      <w:pPr>
        <w:rPr>
          <w:rFonts w:ascii="Calibre-Regular" w:hAnsi="Calibre-Regular" w:cs="Calibri"/>
          <w:color w:val="435254"/>
          <w:sz w:val="20"/>
          <w:szCs w:val="20"/>
          <w:lang w:eastAsia="en-GB"/>
        </w:rPr>
      </w:pPr>
    </w:p>
    <w:p w14:paraId="212DBDF1" w14:textId="2B068737" w:rsidR="008D21E0" w:rsidRDefault="0098649E" w:rsidP="008D21E0">
      <w:pPr>
        <w:rPr>
          <w:color w:val="425254" w:themeColor="text1"/>
          <w:lang w:val="en-GB"/>
        </w:rPr>
      </w:pPr>
      <w:r w:rsidRPr="00F747E4">
        <w:rPr>
          <w:color w:val="425254" w:themeColor="text1"/>
          <w:lang w:val="en-GB"/>
        </w:rPr>
        <w:lastRenderedPageBreak/>
        <w:t xml:space="preserve">Prime rents are </w:t>
      </w:r>
      <w:r>
        <w:rPr>
          <w:color w:val="425254" w:themeColor="text1"/>
          <w:lang w:val="en-GB"/>
        </w:rPr>
        <w:t xml:space="preserve">stable </w:t>
      </w:r>
      <w:r w:rsidRPr="00F747E4">
        <w:rPr>
          <w:color w:val="425254" w:themeColor="text1"/>
          <w:lang w:val="en-GB"/>
        </w:rPr>
        <w:t>at 27</w:t>
      </w:r>
      <w:r w:rsidR="00360ED6">
        <w:rPr>
          <w:color w:val="425254" w:themeColor="text1"/>
          <w:lang w:val="en-GB"/>
        </w:rPr>
        <w:t>.</w:t>
      </w:r>
      <w:r w:rsidRPr="00F747E4">
        <w:rPr>
          <w:color w:val="425254" w:themeColor="text1"/>
          <w:lang w:val="en-GB"/>
        </w:rPr>
        <w:t>50 EUR/sqm/month, and we expect only marginal increase</w:t>
      </w:r>
      <w:r>
        <w:rPr>
          <w:color w:val="425254" w:themeColor="text1"/>
          <w:lang w:val="en-GB"/>
        </w:rPr>
        <w:t>s</w:t>
      </w:r>
      <w:r w:rsidRPr="00F747E4">
        <w:rPr>
          <w:color w:val="425254" w:themeColor="text1"/>
          <w:lang w:val="en-GB"/>
        </w:rPr>
        <w:t xml:space="preserve"> next year</w:t>
      </w:r>
      <w:r>
        <w:rPr>
          <w:color w:val="425254" w:themeColor="text1"/>
          <w:lang w:val="en-GB"/>
        </w:rPr>
        <w:t>,</w:t>
      </w:r>
      <w:r w:rsidRPr="00F747E4">
        <w:rPr>
          <w:color w:val="425254" w:themeColor="text1"/>
          <w:lang w:val="en-GB"/>
        </w:rPr>
        <w:t xml:space="preserve"> driven mainly by indexation. </w:t>
      </w:r>
    </w:p>
    <w:p w14:paraId="72DC9333" w14:textId="77777777" w:rsidR="008D21E0" w:rsidRDefault="008D21E0" w:rsidP="008D21E0">
      <w:pPr>
        <w:pStyle w:val="BodyCopy"/>
        <w:rPr>
          <w:lang w:val="en-GB"/>
        </w:rPr>
      </w:pPr>
    </w:p>
    <w:p w14:paraId="130804C4" w14:textId="17E48176" w:rsidR="008D21E0" w:rsidRDefault="0098649E" w:rsidP="008D21E0">
      <w:pPr>
        <w:pStyle w:val="BodyCopy"/>
        <w:rPr>
          <w:i/>
          <w:iCs/>
          <w:lang w:val="en-GB"/>
        </w:rPr>
      </w:pPr>
      <w:r>
        <w:rPr>
          <w:b/>
          <w:lang w:val="en-GB"/>
        </w:rPr>
        <w:t>Simon Orr, Director in A&amp;T-Offices</w:t>
      </w:r>
      <w:r>
        <w:rPr>
          <w:lang w:val="en-GB"/>
        </w:rPr>
        <w:t>, adds: “</w:t>
      </w:r>
      <w:r w:rsidRPr="00481310">
        <w:rPr>
          <w:i/>
          <w:iCs/>
          <w:lang w:val="en-GB"/>
        </w:rPr>
        <w:t>Due to</w:t>
      </w:r>
      <w:r>
        <w:rPr>
          <w:i/>
          <w:iCs/>
          <w:lang w:val="en-GB"/>
        </w:rPr>
        <w:t xml:space="preserve"> a</w:t>
      </w:r>
      <w:r w:rsidRPr="00481310">
        <w:rPr>
          <w:i/>
          <w:iCs/>
          <w:lang w:val="en-GB"/>
        </w:rPr>
        <w:t xml:space="preserve"> slowdown </w:t>
      </w:r>
      <w:r w:rsidR="009017B8">
        <w:rPr>
          <w:i/>
          <w:iCs/>
          <w:lang w:val="en-GB"/>
        </w:rPr>
        <w:t xml:space="preserve">in </w:t>
      </w:r>
      <w:r w:rsidRPr="00481310">
        <w:rPr>
          <w:i/>
          <w:iCs/>
          <w:lang w:val="en-GB"/>
        </w:rPr>
        <w:t xml:space="preserve">leasing activity, we see upward pressure on incentives in </w:t>
      </w:r>
      <w:r>
        <w:rPr>
          <w:i/>
          <w:iCs/>
          <w:lang w:val="en-GB"/>
        </w:rPr>
        <w:t xml:space="preserve">certain </w:t>
      </w:r>
      <w:r w:rsidRPr="00481310">
        <w:rPr>
          <w:i/>
          <w:iCs/>
          <w:lang w:val="en-GB"/>
        </w:rPr>
        <w:t xml:space="preserve">locations. Price and location are still the </w:t>
      </w:r>
      <w:r>
        <w:rPr>
          <w:i/>
          <w:iCs/>
          <w:lang w:val="en-GB"/>
        </w:rPr>
        <w:t xml:space="preserve">driving </w:t>
      </w:r>
      <w:r w:rsidRPr="00481310">
        <w:rPr>
          <w:i/>
          <w:iCs/>
          <w:lang w:val="en-GB"/>
        </w:rPr>
        <w:t>factors for tenants</w:t>
      </w:r>
      <w:r>
        <w:rPr>
          <w:i/>
          <w:iCs/>
          <w:lang w:val="en-GB"/>
        </w:rPr>
        <w:t>, with sustainability increasingly part of the corporate agenda</w:t>
      </w:r>
      <w:r w:rsidRPr="00481310">
        <w:rPr>
          <w:i/>
          <w:iCs/>
          <w:lang w:val="en-GB"/>
        </w:rPr>
        <w:t xml:space="preserve">. We are </w:t>
      </w:r>
      <w:r>
        <w:rPr>
          <w:i/>
          <w:iCs/>
          <w:lang w:val="en-GB"/>
        </w:rPr>
        <w:t xml:space="preserve">aware of </w:t>
      </w:r>
      <w:r w:rsidRPr="00481310">
        <w:rPr>
          <w:i/>
          <w:iCs/>
          <w:lang w:val="en-GB"/>
        </w:rPr>
        <w:t>projects on the market with permits, which will start construction</w:t>
      </w:r>
      <w:r>
        <w:rPr>
          <w:i/>
          <w:iCs/>
          <w:lang w:val="en-GB"/>
        </w:rPr>
        <w:t xml:space="preserve"> upon securing strong interest or even a pre-lease</w:t>
      </w:r>
      <w:r w:rsidRPr="00481310">
        <w:rPr>
          <w:i/>
          <w:iCs/>
          <w:lang w:val="en-GB"/>
        </w:rPr>
        <w:t xml:space="preserve">. </w:t>
      </w:r>
      <w:r w:rsidR="00C104A3">
        <w:rPr>
          <w:i/>
          <w:iCs/>
          <w:lang w:val="en-GB"/>
        </w:rPr>
        <w:t>C</w:t>
      </w:r>
      <w:r w:rsidRPr="00481310">
        <w:rPr>
          <w:i/>
          <w:iCs/>
          <w:lang w:val="en-GB"/>
        </w:rPr>
        <w:t xml:space="preserve">onstruction activity </w:t>
      </w:r>
      <w:r>
        <w:rPr>
          <w:i/>
          <w:iCs/>
          <w:lang w:val="en-GB"/>
        </w:rPr>
        <w:t xml:space="preserve">should start to recover </w:t>
      </w:r>
      <w:r w:rsidRPr="00481310">
        <w:rPr>
          <w:i/>
          <w:iCs/>
          <w:lang w:val="en-GB"/>
        </w:rPr>
        <w:t xml:space="preserve">next year; however, developers will </w:t>
      </w:r>
      <w:r>
        <w:rPr>
          <w:i/>
          <w:iCs/>
          <w:lang w:val="en-GB"/>
        </w:rPr>
        <w:t>remain</w:t>
      </w:r>
      <w:r w:rsidRPr="00481310">
        <w:rPr>
          <w:i/>
          <w:iCs/>
          <w:lang w:val="en-GB"/>
        </w:rPr>
        <w:t xml:space="preserve"> cautious</w:t>
      </w:r>
      <w:r>
        <w:rPr>
          <w:i/>
          <w:iCs/>
          <w:lang w:val="en-GB"/>
        </w:rPr>
        <w:t xml:space="preserve"> in this era of high construction costs</w:t>
      </w:r>
      <w:r w:rsidRPr="00481310">
        <w:rPr>
          <w:i/>
          <w:iCs/>
          <w:lang w:val="en-GB"/>
        </w:rPr>
        <w:t>.”</w:t>
      </w:r>
    </w:p>
    <w:p w14:paraId="35AB82C9" w14:textId="77777777" w:rsidR="008D21E0" w:rsidRDefault="008D21E0" w:rsidP="008D21E0"/>
    <w:p w14:paraId="0FC5199C" w14:textId="77777777" w:rsidR="005317C5" w:rsidRDefault="0098649E" w:rsidP="005317C5">
      <w:pPr>
        <w:pStyle w:val="BodyCopy"/>
        <w:rPr>
          <w:b/>
          <w:bCs/>
          <w:lang w:val="en-GB"/>
        </w:rPr>
      </w:pPr>
      <w:r>
        <w:rPr>
          <w:b/>
          <w:bCs/>
          <w:lang w:val="en-GB"/>
        </w:rPr>
        <w:t>Industrial &amp; Logistics market: Back to the normal</w:t>
      </w:r>
    </w:p>
    <w:p w14:paraId="61A88274" w14:textId="44DFAD81" w:rsidR="005317C5" w:rsidRPr="002B1101" w:rsidRDefault="0098649E" w:rsidP="005317C5">
      <w:pPr>
        <w:pStyle w:val="BodyCopy"/>
        <w:rPr>
          <w:highlight w:val="cyan"/>
          <w:lang w:val="en-GB"/>
        </w:rPr>
      </w:pPr>
      <w:r w:rsidRPr="00387270">
        <w:rPr>
          <w:lang w:val="en-GB"/>
        </w:rPr>
        <w:t xml:space="preserve">The Czech Republic is </w:t>
      </w:r>
      <w:r>
        <w:rPr>
          <w:lang w:val="en-GB"/>
        </w:rPr>
        <w:t xml:space="preserve">still perceived as </w:t>
      </w:r>
      <w:r w:rsidRPr="00387270">
        <w:rPr>
          <w:lang w:val="en-GB"/>
        </w:rPr>
        <w:t>an attractive location</w:t>
      </w:r>
      <w:r>
        <w:rPr>
          <w:lang w:val="en-GB"/>
        </w:rPr>
        <w:t xml:space="preserve"> for international occupiers</w:t>
      </w:r>
      <w:r w:rsidRPr="00387270">
        <w:rPr>
          <w:lang w:val="en-GB"/>
        </w:rPr>
        <w:t xml:space="preserve"> du</w:t>
      </w:r>
      <w:r>
        <w:rPr>
          <w:lang w:val="en-GB"/>
        </w:rPr>
        <w:t>e</w:t>
      </w:r>
      <w:r w:rsidRPr="00387270">
        <w:rPr>
          <w:lang w:val="en-GB"/>
        </w:rPr>
        <w:t xml:space="preserve"> to </w:t>
      </w:r>
      <w:r>
        <w:rPr>
          <w:lang w:val="en-GB"/>
        </w:rPr>
        <w:t>its</w:t>
      </w:r>
      <w:r w:rsidR="00B352BB">
        <w:rPr>
          <w:lang w:val="en-GB"/>
        </w:rPr>
        <w:t> </w:t>
      </w:r>
      <w:r w:rsidRPr="002B1101">
        <w:rPr>
          <w:lang w:val="en-GB"/>
        </w:rPr>
        <w:t xml:space="preserve">strategic location, stable political situation and skilled labour; at the same time, occupiers </w:t>
      </w:r>
      <w:r w:rsidRPr="002B1101">
        <w:t>are rethinking their global supply chains</w:t>
      </w:r>
      <w:r w:rsidR="009017B8" w:rsidRPr="002B1101">
        <w:t>,</w:t>
      </w:r>
      <w:r w:rsidRPr="002B1101">
        <w:t xml:space="preserve"> which the Czech Republic may benefit from. </w:t>
      </w:r>
    </w:p>
    <w:p w14:paraId="088B9B83" w14:textId="77777777" w:rsidR="002B1101" w:rsidRDefault="002B1101" w:rsidP="002B1101">
      <w:pPr>
        <w:pStyle w:val="BodyCopy"/>
        <w:rPr>
          <w:lang w:val="en-GB"/>
        </w:rPr>
      </w:pPr>
    </w:p>
    <w:p w14:paraId="60E9DA23" w14:textId="682D0BD9" w:rsidR="00B66503" w:rsidRDefault="0098649E" w:rsidP="00B66503">
      <w:pPr>
        <w:pStyle w:val="BodyCopy"/>
        <w:rPr>
          <w:lang w:val="en-GB"/>
        </w:rPr>
      </w:pPr>
      <w:r>
        <w:rPr>
          <w:lang w:val="en-GB"/>
        </w:rPr>
        <w:t xml:space="preserve">After two record-breaking years in newly leased space, the Czech </w:t>
      </w:r>
      <w:r w:rsidR="009017B8">
        <w:rPr>
          <w:lang w:val="en-GB"/>
        </w:rPr>
        <w:t>i</w:t>
      </w:r>
      <w:r>
        <w:rPr>
          <w:lang w:val="en-GB"/>
        </w:rPr>
        <w:t xml:space="preserve">ndustrial and logistics market has been experiencing </w:t>
      </w:r>
      <w:r w:rsidR="009017B8">
        <w:rPr>
          <w:lang w:val="en-GB"/>
        </w:rPr>
        <w:t xml:space="preserve">a </w:t>
      </w:r>
      <w:r>
        <w:rPr>
          <w:lang w:val="en-GB"/>
        </w:rPr>
        <w:t xml:space="preserve">slowdown in demand </w:t>
      </w:r>
      <w:r w:rsidR="009017B8">
        <w:rPr>
          <w:lang w:val="en-GB"/>
        </w:rPr>
        <w:t xml:space="preserve">so far </w:t>
      </w:r>
      <w:r>
        <w:rPr>
          <w:lang w:val="en-GB"/>
        </w:rPr>
        <w:t>during 2023, copying European market trends.</w:t>
      </w:r>
      <w:r w:rsidR="00B66503">
        <w:rPr>
          <w:lang w:val="en-GB"/>
        </w:rPr>
        <w:t xml:space="preserve"> This</w:t>
      </w:r>
      <w:r w:rsidR="00B352BB">
        <w:rPr>
          <w:lang w:val="en-GB"/>
        </w:rPr>
        <w:t> </w:t>
      </w:r>
      <w:r w:rsidR="00B66503">
        <w:rPr>
          <w:lang w:val="en-GB"/>
        </w:rPr>
        <w:t xml:space="preserve">year, demand could drop by almost 40% y-o-y to around 900,000 </w:t>
      </w:r>
      <w:proofErr w:type="spellStart"/>
      <w:r w:rsidR="00B66503">
        <w:rPr>
          <w:lang w:val="en-GB"/>
        </w:rPr>
        <w:t>sq</w:t>
      </w:r>
      <w:proofErr w:type="spellEnd"/>
      <w:r w:rsidR="00B66503">
        <w:rPr>
          <w:lang w:val="en-GB"/>
        </w:rPr>
        <w:t xml:space="preserve"> m of newly leased space. And</w:t>
      </w:r>
      <w:r w:rsidR="00B352BB">
        <w:rPr>
          <w:lang w:val="en-GB"/>
        </w:rPr>
        <w:t> </w:t>
      </w:r>
      <w:r w:rsidR="00B66503">
        <w:rPr>
          <w:lang w:val="en-GB"/>
        </w:rPr>
        <w:t xml:space="preserve">this is the activity we expect to see going forward: </w:t>
      </w:r>
      <w:r w:rsidR="00AB40C9">
        <w:rPr>
          <w:lang w:val="en-GB"/>
        </w:rPr>
        <w:t>approx.</w:t>
      </w:r>
      <w:r w:rsidR="00B66503">
        <w:rPr>
          <w:lang w:val="en-GB"/>
        </w:rPr>
        <w:t xml:space="preserve"> 800,000 – 900,000 </w:t>
      </w:r>
      <w:proofErr w:type="spellStart"/>
      <w:r w:rsidR="00B66503">
        <w:rPr>
          <w:lang w:val="en-GB"/>
        </w:rPr>
        <w:t>sq</w:t>
      </w:r>
      <w:proofErr w:type="spellEnd"/>
      <w:r w:rsidR="00B66503">
        <w:rPr>
          <w:lang w:val="en-GB"/>
        </w:rPr>
        <w:t xml:space="preserve"> m newly leased annually, in line with the 5Y pre-Covid average.</w:t>
      </w:r>
    </w:p>
    <w:p w14:paraId="5A2C9A5E" w14:textId="77777777" w:rsidR="005317C5" w:rsidRDefault="005317C5" w:rsidP="005317C5">
      <w:pPr>
        <w:pStyle w:val="BodyCopy"/>
        <w:rPr>
          <w:lang w:val="en-GB"/>
        </w:rPr>
      </w:pPr>
    </w:p>
    <w:p w14:paraId="7C2ADEE9" w14:textId="7291C78D" w:rsidR="005317C5" w:rsidRDefault="0098649E" w:rsidP="005317C5">
      <w:pPr>
        <w:pStyle w:val="BodyCopy"/>
        <w:rPr>
          <w:lang w:val="en-GB"/>
        </w:rPr>
      </w:pPr>
      <w:r>
        <w:rPr>
          <w:lang w:val="en-GB"/>
        </w:rPr>
        <w:t>The vacancy rate increased slightly during the first three quarters of 2023 and stood at 1.5%. However, it</w:t>
      </w:r>
      <w:r w:rsidR="00B352BB">
        <w:rPr>
          <w:lang w:val="en-GB"/>
        </w:rPr>
        <w:t> </w:t>
      </w:r>
      <w:r>
        <w:rPr>
          <w:lang w:val="en-GB"/>
        </w:rPr>
        <w:t xml:space="preserve">is expected to grow further. Currently, there is a record amount of space under construction – more than 1.4 million </w:t>
      </w:r>
      <w:proofErr w:type="spellStart"/>
      <w:r>
        <w:rPr>
          <w:lang w:val="en-GB"/>
        </w:rPr>
        <w:t>sq</w:t>
      </w:r>
      <w:proofErr w:type="spellEnd"/>
      <w:r>
        <w:rPr>
          <w:lang w:val="en-GB"/>
        </w:rPr>
        <w:t xml:space="preserve"> m. Over 40% of this space is built speculatively. At the same time, we start to monitor grey vacancies on the market, not only in the space offered for subleases but also in projects at</w:t>
      </w:r>
      <w:r w:rsidR="00B352BB">
        <w:rPr>
          <w:lang w:val="en-GB"/>
        </w:rPr>
        <w:t> </w:t>
      </w:r>
      <w:r>
        <w:rPr>
          <w:lang w:val="en-GB"/>
        </w:rPr>
        <w:t>the stage just before completion and designated as under construction until the space is leased.</w:t>
      </w:r>
    </w:p>
    <w:p w14:paraId="225144A5" w14:textId="77777777" w:rsidR="000B13EB" w:rsidRDefault="000B13EB" w:rsidP="005317C5">
      <w:pPr>
        <w:pStyle w:val="BodyCopy"/>
        <w:rPr>
          <w:highlight w:val="cyan"/>
          <w:lang w:val="cs-CZ"/>
        </w:rPr>
      </w:pPr>
    </w:p>
    <w:p w14:paraId="5BE25519" w14:textId="3C1FBF57" w:rsidR="005317C5" w:rsidRDefault="0098649E" w:rsidP="005317C5">
      <w:pPr>
        <w:pStyle w:val="BodyCopy"/>
        <w:rPr>
          <w:i/>
          <w:iCs/>
          <w:lang w:val="en-GB"/>
        </w:rPr>
      </w:pPr>
      <w:r w:rsidRPr="00E30FE6">
        <w:rPr>
          <w:b/>
          <w:lang w:val="en-GB"/>
        </w:rPr>
        <w:t xml:space="preserve">Jan </w:t>
      </w:r>
      <w:proofErr w:type="spellStart"/>
      <w:r w:rsidRPr="00E30FE6">
        <w:rPr>
          <w:b/>
          <w:lang w:val="en-GB"/>
        </w:rPr>
        <w:t>Hřivnacký</w:t>
      </w:r>
      <w:proofErr w:type="spellEnd"/>
      <w:r w:rsidRPr="00E30FE6">
        <w:rPr>
          <w:b/>
          <w:lang w:val="en-GB"/>
        </w:rPr>
        <w:t>, Head of Industrial Leasing</w:t>
      </w:r>
      <w:r w:rsidRPr="00E30FE6">
        <w:rPr>
          <w:lang w:val="en-GB"/>
        </w:rPr>
        <w:t xml:space="preserve">, comments: </w:t>
      </w:r>
      <w:r w:rsidRPr="00C8048B">
        <w:rPr>
          <w:i/>
          <w:iCs/>
          <w:lang w:val="en-GB"/>
        </w:rPr>
        <w:t xml:space="preserve">“Currently, we </w:t>
      </w:r>
      <w:r w:rsidR="009017B8">
        <w:rPr>
          <w:i/>
          <w:iCs/>
          <w:lang w:val="en-GB"/>
        </w:rPr>
        <w:t xml:space="preserve">are </w:t>
      </w:r>
      <w:r w:rsidRPr="00C8048B">
        <w:rPr>
          <w:i/>
          <w:iCs/>
          <w:lang w:val="en-GB"/>
        </w:rPr>
        <w:t>monitor</w:t>
      </w:r>
      <w:r w:rsidR="009017B8">
        <w:rPr>
          <w:i/>
          <w:iCs/>
          <w:lang w:val="en-GB"/>
        </w:rPr>
        <w:t>ing</w:t>
      </w:r>
      <w:r w:rsidRPr="00C8048B">
        <w:rPr>
          <w:i/>
          <w:iCs/>
          <w:lang w:val="en-GB"/>
        </w:rPr>
        <w:t xml:space="preserve"> a structural change in demand. </w:t>
      </w:r>
      <w:r w:rsidR="009017B8">
        <w:rPr>
          <w:i/>
          <w:iCs/>
          <w:lang w:val="en-GB"/>
        </w:rPr>
        <w:t>The i</w:t>
      </w:r>
      <w:r w:rsidRPr="00C8048B">
        <w:rPr>
          <w:i/>
          <w:iCs/>
          <w:lang w:val="en-GB"/>
        </w:rPr>
        <w:t xml:space="preserve">mportance of manufacturing companies is growing, with </w:t>
      </w:r>
      <w:r w:rsidR="009017B8">
        <w:rPr>
          <w:i/>
          <w:iCs/>
          <w:lang w:val="en-GB"/>
        </w:rPr>
        <w:t xml:space="preserve">an </w:t>
      </w:r>
      <w:r w:rsidRPr="00C8048B">
        <w:rPr>
          <w:i/>
          <w:iCs/>
          <w:lang w:val="en-GB"/>
        </w:rPr>
        <w:t xml:space="preserve">almost 50% share on take-up in the first three quarters of 2023, </w:t>
      </w:r>
      <w:r w:rsidR="009017B8">
        <w:rPr>
          <w:i/>
          <w:iCs/>
          <w:lang w:val="en-GB"/>
        </w:rPr>
        <w:t xml:space="preserve">while a </w:t>
      </w:r>
      <w:r w:rsidRPr="00C8048B">
        <w:rPr>
          <w:i/>
          <w:iCs/>
          <w:lang w:val="en-GB"/>
        </w:rPr>
        <w:t xml:space="preserve">slowdown in demand from e-commerce and 3PL companies is evident in total numbers. Prime rents are currently at 7.55 </w:t>
      </w:r>
      <w:r w:rsidR="00BC0006">
        <w:rPr>
          <w:i/>
          <w:iCs/>
          <w:lang w:val="en-GB"/>
        </w:rPr>
        <w:t>EUR</w:t>
      </w:r>
      <w:r w:rsidRPr="00C8048B">
        <w:rPr>
          <w:i/>
          <w:iCs/>
          <w:lang w:val="en-GB"/>
        </w:rPr>
        <w:t xml:space="preserve">/sqm/month, and we expect only </w:t>
      </w:r>
      <w:r w:rsidR="009017B8">
        <w:rPr>
          <w:i/>
          <w:iCs/>
          <w:lang w:val="en-GB"/>
        </w:rPr>
        <w:t xml:space="preserve">a </w:t>
      </w:r>
      <w:r w:rsidRPr="00C8048B">
        <w:rPr>
          <w:i/>
          <w:iCs/>
          <w:lang w:val="en-GB"/>
        </w:rPr>
        <w:t>slight inflation</w:t>
      </w:r>
      <w:r w:rsidR="009017B8">
        <w:rPr>
          <w:i/>
          <w:iCs/>
          <w:lang w:val="en-GB"/>
        </w:rPr>
        <w:t>-</w:t>
      </w:r>
      <w:r w:rsidRPr="00C8048B">
        <w:rPr>
          <w:i/>
          <w:iCs/>
          <w:lang w:val="en-GB"/>
        </w:rPr>
        <w:t xml:space="preserve">driven increase next year. In some </w:t>
      </w:r>
      <w:r w:rsidR="009017B8">
        <w:rPr>
          <w:i/>
          <w:iCs/>
          <w:lang w:val="en-GB"/>
        </w:rPr>
        <w:t xml:space="preserve">of the </w:t>
      </w:r>
      <w:r w:rsidRPr="00C8048B">
        <w:rPr>
          <w:i/>
          <w:iCs/>
          <w:lang w:val="en-GB"/>
        </w:rPr>
        <w:t>most competitive regions, we might experience a downward pressure on rental levels.”</w:t>
      </w:r>
    </w:p>
    <w:p w14:paraId="14E78503" w14:textId="77777777" w:rsidR="005317C5" w:rsidRDefault="005317C5" w:rsidP="005317C5">
      <w:pPr>
        <w:pStyle w:val="BodyCopy"/>
        <w:rPr>
          <w:lang w:val="en-GB"/>
        </w:rPr>
      </w:pPr>
    </w:p>
    <w:p w14:paraId="785FBAFC" w14:textId="77777777" w:rsidR="005317C5" w:rsidRDefault="0098649E" w:rsidP="005317C5">
      <w:pPr>
        <w:autoSpaceDE w:val="0"/>
        <w:autoSpaceDN w:val="0"/>
        <w:adjustRightInd w:val="0"/>
        <w:rPr>
          <w:b/>
          <w:bCs/>
          <w:color w:val="425254"/>
          <w:lang w:val="en-GB"/>
        </w:rPr>
      </w:pPr>
      <w:r>
        <w:rPr>
          <w:b/>
          <w:bCs/>
          <w:color w:val="425254"/>
          <w:lang w:val="en-GB"/>
        </w:rPr>
        <w:t>Retail</w:t>
      </w:r>
      <w:r w:rsidRPr="007F3C69">
        <w:rPr>
          <w:b/>
          <w:bCs/>
          <w:color w:val="425254"/>
          <w:lang w:val="en-GB"/>
        </w:rPr>
        <w:t xml:space="preserve"> market: </w:t>
      </w:r>
      <w:r w:rsidRPr="00F91699">
        <w:rPr>
          <w:b/>
          <w:bCs/>
          <w:color w:val="425254"/>
          <w:lang w:val="en-GB"/>
        </w:rPr>
        <w:t>inflation i</w:t>
      </w:r>
      <w:r w:rsidR="00CE3EA5">
        <w:rPr>
          <w:b/>
          <w:bCs/>
          <w:color w:val="425254"/>
          <w:lang w:val="en-GB"/>
        </w:rPr>
        <w:t>s</w:t>
      </w:r>
      <w:r w:rsidRPr="00F91699">
        <w:rPr>
          <w:b/>
          <w:bCs/>
          <w:color w:val="425254"/>
          <w:lang w:val="en-GB"/>
        </w:rPr>
        <w:t xml:space="preserve"> the main </w:t>
      </w:r>
      <w:r w:rsidR="00CE3EA5">
        <w:rPr>
          <w:b/>
          <w:bCs/>
          <w:color w:val="425254"/>
          <w:lang w:val="en-GB"/>
        </w:rPr>
        <w:t>driver</w:t>
      </w:r>
    </w:p>
    <w:p w14:paraId="7BD94EFA" w14:textId="4F7EB33D" w:rsidR="005317C5" w:rsidRDefault="0098649E" w:rsidP="005317C5">
      <w:pPr>
        <w:rPr>
          <w:color w:val="425254"/>
          <w:lang w:val="en-GB"/>
        </w:rPr>
      </w:pPr>
      <w:r w:rsidRPr="007F3C69">
        <w:rPr>
          <w:color w:val="425254"/>
          <w:lang w:val="en-GB"/>
        </w:rPr>
        <w:t>Retail development in the Czech Republic was driven only by retail park construction in 2023. A</w:t>
      </w:r>
      <w:r w:rsidR="00B352BB">
        <w:rPr>
          <w:color w:val="425254"/>
          <w:lang w:val="en-GB"/>
        </w:rPr>
        <w:t>t </w:t>
      </w:r>
      <w:r w:rsidRPr="007F3C69">
        <w:rPr>
          <w:color w:val="425254"/>
          <w:lang w:val="en-GB"/>
        </w:rPr>
        <w:t>the</w:t>
      </w:r>
      <w:r w:rsidR="00B352BB">
        <w:rPr>
          <w:color w:val="425254"/>
          <w:lang w:val="en-GB"/>
        </w:rPr>
        <w:t> </w:t>
      </w:r>
      <w:r w:rsidRPr="007F3C69">
        <w:rPr>
          <w:color w:val="425254"/>
          <w:lang w:val="en-GB"/>
        </w:rPr>
        <w:t xml:space="preserve">end of 2023, </w:t>
      </w:r>
      <w:r w:rsidR="00446851">
        <w:rPr>
          <w:color w:val="425254"/>
          <w:lang w:val="en-GB"/>
        </w:rPr>
        <w:t>expansion of</w:t>
      </w:r>
      <w:r w:rsidRPr="007F3C69">
        <w:rPr>
          <w:color w:val="425254"/>
          <w:lang w:val="en-GB"/>
        </w:rPr>
        <w:t xml:space="preserve"> one shopping centre, </w:t>
      </w:r>
      <w:proofErr w:type="spellStart"/>
      <w:r w:rsidRPr="007F3C69">
        <w:rPr>
          <w:color w:val="425254"/>
          <w:lang w:val="en-GB"/>
        </w:rPr>
        <w:t>Vary</w:t>
      </w:r>
      <w:r w:rsidR="00446851">
        <w:rPr>
          <w:color w:val="425254"/>
          <w:lang w:val="en-GB"/>
        </w:rPr>
        <w:t>á</w:t>
      </w:r>
      <w:r w:rsidRPr="007F3C69">
        <w:rPr>
          <w:color w:val="425254"/>
          <w:lang w:val="en-GB"/>
        </w:rPr>
        <w:t>da</w:t>
      </w:r>
      <w:proofErr w:type="spellEnd"/>
      <w:r w:rsidRPr="007F3C69">
        <w:rPr>
          <w:color w:val="425254"/>
          <w:lang w:val="en-GB"/>
        </w:rPr>
        <w:t xml:space="preserve"> in Karlovy Vary</w:t>
      </w:r>
      <w:r w:rsidR="00446851">
        <w:rPr>
          <w:color w:val="425254"/>
          <w:lang w:val="en-GB"/>
        </w:rPr>
        <w:t>, started</w:t>
      </w:r>
      <w:r w:rsidRPr="007F3C69">
        <w:rPr>
          <w:color w:val="425254"/>
          <w:lang w:val="en-GB"/>
        </w:rPr>
        <w:t xml:space="preserve">. Another three to four shopping centres are expected to announce </w:t>
      </w:r>
      <w:r w:rsidR="009017B8">
        <w:rPr>
          <w:color w:val="425254"/>
          <w:lang w:val="en-GB"/>
        </w:rPr>
        <w:t xml:space="preserve">the </w:t>
      </w:r>
      <w:r w:rsidRPr="007F3C69">
        <w:rPr>
          <w:color w:val="425254"/>
          <w:lang w:val="en-GB"/>
        </w:rPr>
        <w:t>commence</w:t>
      </w:r>
      <w:r w:rsidR="009017B8">
        <w:rPr>
          <w:color w:val="425254"/>
          <w:lang w:val="en-GB"/>
        </w:rPr>
        <w:t>ment</w:t>
      </w:r>
      <w:r w:rsidRPr="007F3C69">
        <w:rPr>
          <w:color w:val="425254"/>
          <w:lang w:val="en-GB"/>
        </w:rPr>
        <w:t xml:space="preserve"> of construction in </w:t>
      </w:r>
      <w:r w:rsidR="009017B8">
        <w:rPr>
          <w:color w:val="425254"/>
          <w:lang w:val="en-GB"/>
        </w:rPr>
        <w:t xml:space="preserve">the </w:t>
      </w:r>
      <w:r w:rsidRPr="007F3C69">
        <w:rPr>
          <w:color w:val="425254"/>
          <w:lang w:val="en-GB"/>
        </w:rPr>
        <w:t>upcoming year.</w:t>
      </w:r>
    </w:p>
    <w:p w14:paraId="5AB7D2A4" w14:textId="77777777" w:rsidR="005317C5" w:rsidRPr="007F3C69" w:rsidRDefault="005317C5" w:rsidP="005317C5">
      <w:pPr>
        <w:rPr>
          <w:color w:val="425254"/>
          <w:lang w:val="en-GB"/>
        </w:rPr>
      </w:pPr>
    </w:p>
    <w:p w14:paraId="5918C74D" w14:textId="1780F066" w:rsidR="005317C5" w:rsidRDefault="0098649E" w:rsidP="005317C5">
      <w:pPr>
        <w:rPr>
          <w:color w:val="425254"/>
          <w:lang w:val="en-GB"/>
        </w:rPr>
      </w:pPr>
      <w:r w:rsidRPr="007F3C69">
        <w:rPr>
          <w:color w:val="425254"/>
          <w:lang w:val="en-GB"/>
        </w:rPr>
        <w:t>Despite improving confidence, consumer</w:t>
      </w:r>
      <w:r w:rsidR="00753D60">
        <w:rPr>
          <w:color w:val="425254"/>
          <w:lang w:val="en-GB"/>
        </w:rPr>
        <w:t>s</w:t>
      </w:r>
      <w:r w:rsidRPr="007F3C69">
        <w:rPr>
          <w:color w:val="425254"/>
          <w:lang w:val="en-GB"/>
        </w:rPr>
        <w:t xml:space="preserve"> remained cautious and price sensitive, with a tendency to</w:t>
      </w:r>
      <w:r w:rsidR="00B352BB">
        <w:rPr>
          <w:color w:val="425254"/>
          <w:lang w:val="en-GB"/>
        </w:rPr>
        <w:t> </w:t>
      </w:r>
      <w:r w:rsidRPr="007F3C69">
        <w:rPr>
          <w:color w:val="425254"/>
          <w:lang w:val="en-GB"/>
        </w:rPr>
        <w:t xml:space="preserve">save. </w:t>
      </w:r>
      <w:r w:rsidR="00753D60">
        <w:rPr>
          <w:color w:val="425254"/>
          <w:lang w:val="en-GB"/>
        </w:rPr>
        <w:t>The f</w:t>
      </w:r>
      <w:r w:rsidRPr="007F3C69">
        <w:rPr>
          <w:color w:val="425254"/>
          <w:lang w:val="en-GB"/>
        </w:rPr>
        <w:t>ootfall level in shopping centres still ha</w:t>
      </w:r>
      <w:r w:rsidR="00753D60">
        <w:rPr>
          <w:color w:val="425254"/>
          <w:lang w:val="en-GB"/>
        </w:rPr>
        <w:t>s</w:t>
      </w:r>
      <w:r w:rsidRPr="007F3C69">
        <w:rPr>
          <w:color w:val="425254"/>
          <w:lang w:val="en-GB"/>
        </w:rPr>
        <w:t xml:space="preserve"> not reached pre-pandemic levels and stabili</w:t>
      </w:r>
      <w:r w:rsidR="00753D60">
        <w:rPr>
          <w:color w:val="425254"/>
          <w:lang w:val="en-GB"/>
        </w:rPr>
        <w:t>s</w:t>
      </w:r>
      <w:r w:rsidRPr="007F3C69">
        <w:rPr>
          <w:color w:val="425254"/>
          <w:lang w:val="en-GB"/>
        </w:rPr>
        <w:t xml:space="preserve">ed </w:t>
      </w:r>
      <w:r w:rsidR="00753D60">
        <w:rPr>
          <w:color w:val="425254"/>
          <w:lang w:val="en-GB"/>
        </w:rPr>
        <w:t>at</w:t>
      </w:r>
      <w:r w:rsidR="00B352BB">
        <w:rPr>
          <w:color w:val="425254"/>
          <w:lang w:val="en-GB"/>
        </w:rPr>
        <w:t> </w:t>
      </w:r>
      <w:r w:rsidRPr="007F3C69">
        <w:rPr>
          <w:color w:val="425254"/>
          <w:lang w:val="en-GB"/>
        </w:rPr>
        <w:t xml:space="preserve">5-10% below </w:t>
      </w:r>
      <w:r w:rsidR="00753D60">
        <w:rPr>
          <w:color w:val="425254"/>
          <w:lang w:val="en-GB"/>
        </w:rPr>
        <w:t xml:space="preserve">the </w:t>
      </w:r>
      <w:r w:rsidRPr="007F3C69">
        <w:rPr>
          <w:color w:val="425254"/>
          <w:lang w:val="en-GB"/>
        </w:rPr>
        <w:t xml:space="preserve">2019 level. This may imply a long-term change in customer behaviour and </w:t>
      </w:r>
      <w:r w:rsidR="00753D60">
        <w:rPr>
          <w:color w:val="425254"/>
          <w:lang w:val="en-GB"/>
        </w:rPr>
        <w:t xml:space="preserve">a </w:t>
      </w:r>
      <w:r w:rsidRPr="007F3C69">
        <w:rPr>
          <w:color w:val="425254"/>
          <w:lang w:val="en-GB"/>
        </w:rPr>
        <w:t xml:space="preserve">new average footfall level. Meanwhile, turnovers in shopping centres, </w:t>
      </w:r>
      <w:r w:rsidR="00A30729">
        <w:rPr>
          <w:color w:val="425254"/>
          <w:lang w:val="en-GB"/>
        </w:rPr>
        <w:t>powered</w:t>
      </w:r>
      <w:r w:rsidR="00A30729" w:rsidRPr="007F3C69">
        <w:rPr>
          <w:color w:val="425254"/>
          <w:lang w:val="en-GB"/>
        </w:rPr>
        <w:t xml:space="preserve"> </w:t>
      </w:r>
      <w:r w:rsidRPr="007F3C69">
        <w:rPr>
          <w:color w:val="425254"/>
          <w:lang w:val="en-GB"/>
        </w:rPr>
        <w:t xml:space="preserve">by high inflation, recorded </w:t>
      </w:r>
      <w:r w:rsidR="00753D60">
        <w:rPr>
          <w:color w:val="425254"/>
          <w:lang w:val="en-GB"/>
        </w:rPr>
        <w:lastRenderedPageBreak/>
        <w:t>an</w:t>
      </w:r>
      <w:r w:rsidR="00B352BB">
        <w:rPr>
          <w:color w:val="425254"/>
          <w:lang w:val="en-GB"/>
        </w:rPr>
        <w:t> </w:t>
      </w:r>
      <w:r w:rsidRPr="007F3C69">
        <w:rPr>
          <w:color w:val="425254"/>
          <w:lang w:val="en-GB"/>
        </w:rPr>
        <w:t xml:space="preserve">approx. 20% higher level than in 2019, real retail spending is expected to </w:t>
      </w:r>
      <w:r w:rsidR="00753D60">
        <w:rPr>
          <w:color w:val="425254"/>
          <w:lang w:val="en-GB"/>
        </w:rPr>
        <w:t xml:space="preserve">show a </w:t>
      </w:r>
      <w:r w:rsidRPr="007F3C69">
        <w:rPr>
          <w:color w:val="425254"/>
          <w:lang w:val="en-GB"/>
        </w:rPr>
        <w:t xml:space="preserve">result more than 5% below 2019 in 2023. In 2024, </w:t>
      </w:r>
      <w:r w:rsidR="00753D60">
        <w:rPr>
          <w:color w:val="425254"/>
          <w:lang w:val="en-GB"/>
        </w:rPr>
        <w:t xml:space="preserve">the </w:t>
      </w:r>
      <w:r w:rsidRPr="007F3C69">
        <w:rPr>
          <w:color w:val="425254"/>
          <w:lang w:val="en-GB"/>
        </w:rPr>
        <w:t xml:space="preserve">current forecast predicts moderate growth </w:t>
      </w:r>
      <w:r w:rsidR="00753D60">
        <w:rPr>
          <w:color w:val="425254"/>
          <w:lang w:val="en-GB"/>
        </w:rPr>
        <w:t>in</w:t>
      </w:r>
      <w:r w:rsidRPr="007F3C69">
        <w:rPr>
          <w:color w:val="425254"/>
          <w:lang w:val="en-GB"/>
        </w:rPr>
        <w:t xml:space="preserve"> retail spending.</w:t>
      </w:r>
    </w:p>
    <w:p w14:paraId="5300397B" w14:textId="77777777" w:rsidR="00B352BB" w:rsidRDefault="00B352BB" w:rsidP="005317C5">
      <w:pPr>
        <w:rPr>
          <w:color w:val="425254"/>
          <w:lang w:val="en-GB"/>
        </w:rPr>
      </w:pPr>
    </w:p>
    <w:p w14:paraId="4BCB3FB5" w14:textId="76B7AC1E" w:rsidR="005317C5" w:rsidRDefault="0098649E" w:rsidP="005317C5">
      <w:pPr>
        <w:rPr>
          <w:i/>
          <w:iCs/>
          <w:color w:val="425254"/>
          <w:lang w:val="en-GB"/>
        </w:rPr>
      </w:pPr>
      <w:r w:rsidRPr="007F3C69">
        <w:rPr>
          <w:b/>
          <w:color w:val="425254"/>
          <w:lang w:val="en-GB"/>
        </w:rPr>
        <w:t>Jan Janáček, Head of Retail Sector and A&amp;T-</w:t>
      </w:r>
      <w:r w:rsidRPr="00A31DBA">
        <w:rPr>
          <w:b/>
          <w:color w:val="425254"/>
          <w:lang w:val="en-GB"/>
        </w:rPr>
        <w:t>Retail</w:t>
      </w:r>
      <w:r w:rsidRPr="00A31DBA">
        <w:rPr>
          <w:color w:val="425254"/>
          <w:lang w:val="en-GB"/>
        </w:rPr>
        <w:t xml:space="preserve">, adds: </w:t>
      </w:r>
      <w:r w:rsidR="00A31DBA" w:rsidRPr="00A31DBA">
        <w:rPr>
          <w:rFonts w:eastAsia="Calibri"/>
          <w:i/>
          <w:iCs/>
          <w:color w:val="425254"/>
          <w:lang w:val="en-GB"/>
        </w:rPr>
        <w:t>“</w:t>
      </w:r>
      <w:r w:rsidR="00753D60" w:rsidRPr="00A31DBA">
        <w:rPr>
          <w:rFonts w:eastAsia="Calibri"/>
          <w:i/>
          <w:iCs/>
          <w:color w:val="425254"/>
          <w:lang w:val="en-GB"/>
        </w:rPr>
        <w:t xml:space="preserve">The </w:t>
      </w:r>
      <w:r w:rsidRPr="00A31DBA">
        <w:rPr>
          <w:i/>
          <w:iCs/>
          <w:color w:val="425254"/>
          <w:lang w:val="en-GB"/>
        </w:rPr>
        <w:t xml:space="preserve">Czech Republic remained the most attractive country among international retailers when entering </w:t>
      </w:r>
      <w:r w:rsidR="00753D60" w:rsidRPr="00A31DBA">
        <w:rPr>
          <w:i/>
          <w:iCs/>
          <w:color w:val="425254"/>
          <w:lang w:val="en-GB"/>
        </w:rPr>
        <w:t xml:space="preserve">the </w:t>
      </w:r>
      <w:r w:rsidRPr="00A31DBA">
        <w:rPr>
          <w:i/>
          <w:iCs/>
          <w:color w:val="425254"/>
          <w:lang w:val="en-GB"/>
        </w:rPr>
        <w:t>CEE region, and several dozens of</w:t>
      </w:r>
      <w:r w:rsidR="00B352BB">
        <w:rPr>
          <w:i/>
          <w:iCs/>
          <w:color w:val="425254"/>
          <w:lang w:val="en-GB"/>
        </w:rPr>
        <w:t> </w:t>
      </w:r>
      <w:r w:rsidRPr="00A31DBA">
        <w:rPr>
          <w:i/>
          <w:iCs/>
          <w:color w:val="425254"/>
          <w:lang w:val="en-GB"/>
        </w:rPr>
        <w:t xml:space="preserve">new retailers entered the market in 2023. Nevertheless, </w:t>
      </w:r>
      <w:r w:rsidR="00753D60" w:rsidRPr="00A31DBA">
        <w:rPr>
          <w:i/>
          <w:iCs/>
          <w:color w:val="425254"/>
          <w:lang w:val="en-GB"/>
        </w:rPr>
        <w:t xml:space="preserve">the </w:t>
      </w:r>
      <w:r w:rsidRPr="00A31DBA">
        <w:rPr>
          <w:i/>
          <w:iCs/>
          <w:color w:val="425254"/>
          <w:lang w:val="en-GB"/>
        </w:rPr>
        <w:t>ongoing downside risk related to high cost</w:t>
      </w:r>
      <w:r w:rsidR="00753D60" w:rsidRPr="00A31DBA">
        <w:rPr>
          <w:i/>
          <w:iCs/>
          <w:color w:val="425254"/>
          <w:lang w:val="en-GB"/>
        </w:rPr>
        <w:t>s</w:t>
      </w:r>
      <w:r w:rsidRPr="00A31DBA">
        <w:rPr>
          <w:i/>
          <w:iCs/>
          <w:color w:val="425254"/>
          <w:lang w:val="en-GB"/>
        </w:rPr>
        <w:t>, customer price inflation and income inequality is causing cautio</w:t>
      </w:r>
      <w:r w:rsidR="00753D60" w:rsidRPr="00A31DBA">
        <w:rPr>
          <w:i/>
          <w:iCs/>
          <w:color w:val="425254"/>
          <w:lang w:val="en-GB"/>
        </w:rPr>
        <w:t>n</w:t>
      </w:r>
      <w:r w:rsidRPr="00A31DBA">
        <w:rPr>
          <w:i/>
          <w:iCs/>
          <w:color w:val="425254"/>
          <w:lang w:val="en-GB"/>
        </w:rPr>
        <w:t xml:space="preserve"> in the market. As </w:t>
      </w:r>
      <w:r w:rsidR="00753D60" w:rsidRPr="00A31DBA">
        <w:rPr>
          <w:i/>
          <w:iCs/>
          <w:color w:val="425254"/>
          <w:lang w:val="en-GB"/>
        </w:rPr>
        <w:t xml:space="preserve">the </w:t>
      </w:r>
      <w:r w:rsidRPr="00A31DBA">
        <w:rPr>
          <w:i/>
          <w:iCs/>
          <w:color w:val="425254"/>
          <w:lang w:val="en-GB"/>
        </w:rPr>
        <w:t>significant growth of real estate cost</w:t>
      </w:r>
      <w:r w:rsidR="00753D60" w:rsidRPr="00A31DBA">
        <w:rPr>
          <w:i/>
          <w:iCs/>
          <w:color w:val="425254"/>
          <w:lang w:val="en-GB"/>
        </w:rPr>
        <w:t>s</w:t>
      </w:r>
      <w:r w:rsidRPr="00A31DBA">
        <w:rPr>
          <w:i/>
          <w:iCs/>
          <w:color w:val="425254"/>
          <w:lang w:val="en-GB"/>
        </w:rPr>
        <w:t xml:space="preserve"> is expected </w:t>
      </w:r>
      <w:r w:rsidR="00753D60" w:rsidRPr="00A31DBA">
        <w:rPr>
          <w:i/>
          <w:iCs/>
          <w:color w:val="425254"/>
          <w:lang w:val="en-GB"/>
        </w:rPr>
        <w:t xml:space="preserve">for </w:t>
      </w:r>
      <w:r w:rsidRPr="00A31DBA">
        <w:rPr>
          <w:i/>
          <w:iCs/>
          <w:color w:val="425254"/>
          <w:lang w:val="en-GB"/>
        </w:rPr>
        <w:t>the second year, we anticipate further intensive occupier-landlord dialogue</w:t>
      </w:r>
      <w:r w:rsidR="00753D60" w:rsidRPr="00A31DBA">
        <w:rPr>
          <w:i/>
          <w:iCs/>
          <w:color w:val="425254"/>
          <w:lang w:val="en-GB"/>
        </w:rPr>
        <w:t>s</w:t>
      </w:r>
      <w:r w:rsidRPr="00A31DBA">
        <w:rPr>
          <w:i/>
          <w:iCs/>
          <w:color w:val="425254"/>
          <w:lang w:val="en-GB"/>
        </w:rPr>
        <w:t>, especially among less performing sectors.”</w:t>
      </w:r>
    </w:p>
    <w:p w14:paraId="0B5B47E3" w14:textId="40121410" w:rsidR="00C104A3" w:rsidRDefault="00D45661" w:rsidP="006C6044">
      <w:pPr>
        <w:pStyle w:val="BodyCopy"/>
        <w:rPr>
          <w:lang w:val="en-GB"/>
        </w:rPr>
      </w:pPr>
      <w:r>
        <w:rPr>
          <w:lang w:val="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5025"/>
      </w:tblGrid>
      <w:tr w:rsidR="00C104A3" w14:paraId="64865126" w14:textId="77777777" w:rsidTr="00C104A3">
        <w:trPr>
          <w:trHeight w:val="300"/>
        </w:trPr>
        <w:tc>
          <w:tcPr>
            <w:tcW w:w="5025" w:type="dxa"/>
            <w:tcBorders>
              <w:top w:val="nil"/>
              <w:left w:val="nil"/>
              <w:bottom w:val="nil"/>
              <w:right w:val="nil"/>
            </w:tcBorders>
            <w:shd w:val="clear" w:color="auto" w:fill="auto"/>
            <w:hideMark/>
          </w:tcPr>
          <w:p w14:paraId="361F0A8E" w14:textId="3304B3FB"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Contacts</w:t>
            </w:r>
            <w:r>
              <w:rPr>
                <w:rStyle w:val="eop"/>
                <w:b/>
                <w:bCs/>
                <w:color w:val="425254"/>
              </w:rPr>
              <w:t> </w:t>
            </w:r>
          </w:p>
        </w:tc>
        <w:tc>
          <w:tcPr>
            <w:tcW w:w="5025" w:type="dxa"/>
            <w:tcBorders>
              <w:top w:val="nil"/>
              <w:left w:val="nil"/>
              <w:bottom w:val="nil"/>
              <w:right w:val="nil"/>
            </w:tcBorders>
            <w:shd w:val="clear" w:color="auto" w:fill="auto"/>
            <w:hideMark/>
          </w:tcPr>
          <w:p w14:paraId="5FE4B87C" w14:textId="77777777" w:rsidR="00C104A3" w:rsidRDefault="00C104A3" w:rsidP="00C104A3">
            <w:pPr>
              <w:pStyle w:val="paragraph"/>
              <w:spacing w:before="0" w:beforeAutospacing="0" w:after="0" w:afterAutospacing="0"/>
              <w:textAlignment w:val="baseline"/>
              <w:rPr>
                <w:b/>
                <w:bCs/>
                <w:color w:val="425254"/>
              </w:rPr>
            </w:pPr>
            <w:r>
              <w:rPr>
                <w:rStyle w:val="eop"/>
                <w:b/>
                <w:bCs/>
                <w:color w:val="425254"/>
              </w:rPr>
              <w:t> </w:t>
            </w:r>
          </w:p>
        </w:tc>
      </w:tr>
      <w:tr w:rsidR="00C104A3" w14:paraId="091DE1D1" w14:textId="77777777" w:rsidTr="00C104A3">
        <w:trPr>
          <w:trHeight w:val="300"/>
        </w:trPr>
        <w:tc>
          <w:tcPr>
            <w:tcW w:w="5025" w:type="dxa"/>
            <w:tcBorders>
              <w:top w:val="nil"/>
              <w:left w:val="nil"/>
              <w:bottom w:val="nil"/>
              <w:right w:val="nil"/>
            </w:tcBorders>
            <w:shd w:val="clear" w:color="auto" w:fill="auto"/>
            <w:hideMark/>
          </w:tcPr>
          <w:p w14:paraId="0FE4126C"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 xml:space="preserve">Crest Communications, </w:t>
            </w:r>
            <w:proofErr w:type="spellStart"/>
            <w:r>
              <w:rPr>
                <w:rStyle w:val="normaltextrun"/>
                <w:color w:val="425254"/>
                <w:lang w:val="en-GB"/>
              </w:rPr>
              <w:t>a.s.</w:t>
            </w:r>
            <w:proofErr w:type="spellEnd"/>
            <w:r>
              <w:rPr>
                <w:rStyle w:val="eop"/>
                <w:b/>
                <w:bCs/>
                <w:color w:val="425254"/>
              </w:rPr>
              <w:t> </w:t>
            </w:r>
          </w:p>
        </w:tc>
        <w:tc>
          <w:tcPr>
            <w:tcW w:w="5025" w:type="dxa"/>
            <w:tcBorders>
              <w:top w:val="nil"/>
              <w:left w:val="nil"/>
              <w:bottom w:val="nil"/>
              <w:right w:val="nil"/>
            </w:tcBorders>
            <w:shd w:val="clear" w:color="auto" w:fill="auto"/>
            <w:hideMark/>
          </w:tcPr>
          <w:p w14:paraId="3BA37720" w14:textId="77777777" w:rsidR="00C104A3" w:rsidRDefault="00C104A3" w:rsidP="00C104A3">
            <w:pPr>
              <w:pStyle w:val="paragraph"/>
              <w:spacing w:before="0" w:beforeAutospacing="0" w:after="0" w:afterAutospacing="0"/>
              <w:textAlignment w:val="baseline"/>
              <w:rPr>
                <w:b/>
                <w:bCs/>
                <w:color w:val="425254"/>
              </w:rPr>
            </w:pPr>
            <w:r>
              <w:rPr>
                <w:rStyle w:val="eop"/>
                <w:b/>
                <w:bCs/>
                <w:color w:val="425254"/>
              </w:rPr>
              <w:t> </w:t>
            </w:r>
          </w:p>
        </w:tc>
      </w:tr>
      <w:tr w:rsidR="00C104A3" w14:paraId="2C923993" w14:textId="77777777" w:rsidTr="00C104A3">
        <w:trPr>
          <w:trHeight w:val="300"/>
        </w:trPr>
        <w:tc>
          <w:tcPr>
            <w:tcW w:w="5025" w:type="dxa"/>
            <w:tcBorders>
              <w:top w:val="nil"/>
              <w:left w:val="nil"/>
              <w:bottom w:val="nil"/>
              <w:right w:val="nil"/>
            </w:tcBorders>
            <w:shd w:val="clear" w:color="auto" w:fill="auto"/>
            <w:hideMark/>
          </w:tcPr>
          <w:p w14:paraId="5A6CC493"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Denisa Kolaříková</w:t>
            </w:r>
            <w:r>
              <w:rPr>
                <w:rStyle w:val="eop"/>
                <w:b/>
                <w:bCs/>
                <w:color w:val="425254"/>
              </w:rPr>
              <w:t> </w:t>
            </w:r>
          </w:p>
        </w:tc>
        <w:tc>
          <w:tcPr>
            <w:tcW w:w="5025" w:type="dxa"/>
            <w:tcBorders>
              <w:top w:val="nil"/>
              <w:left w:val="nil"/>
              <w:bottom w:val="nil"/>
              <w:right w:val="nil"/>
            </w:tcBorders>
            <w:shd w:val="clear" w:color="auto" w:fill="auto"/>
            <w:hideMark/>
          </w:tcPr>
          <w:p w14:paraId="19BE1758"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Kamila Čadková</w:t>
            </w:r>
            <w:r>
              <w:rPr>
                <w:rStyle w:val="eop"/>
                <w:b/>
                <w:bCs/>
                <w:color w:val="425254"/>
              </w:rPr>
              <w:t> </w:t>
            </w:r>
          </w:p>
        </w:tc>
      </w:tr>
      <w:tr w:rsidR="00C104A3" w14:paraId="6F6726A5" w14:textId="77777777" w:rsidTr="00C104A3">
        <w:trPr>
          <w:trHeight w:val="300"/>
        </w:trPr>
        <w:tc>
          <w:tcPr>
            <w:tcW w:w="5025" w:type="dxa"/>
            <w:tcBorders>
              <w:top w:val="nil"/>
              <w:left w:val="nil"/>
              <w:bottom w:val="nil"/>
              <w:right w:val="nil"/>
            </w:tcBorders>
            <w:shd w:val="clear" w:color="auto" w:fill="auto"/>
            <w:hideMark/>
          </w:tcPr>
          <w:p w14:paraId="00B7957F"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Account Manager</w:t>
            </w:r>
            <w:r>
              <w:rPr>
                <w:rStyle w:val="eop"/>
                <w:b/>
                <w:bCs/>
                <w:color w:val="425254"/>
              </w:rPr>
              <w:t> </w:t>
            </w:r>
          </w:p>
        </w:tc>
        <w:tc>
          <w:tcPr>
            <w:tcW w:w="5025" w:type="dxa"/>
            <w:tcBorders>
              <w:top w:val="nil"/>
              <w:left w:val="nil"/>
              <w:bottom w:val="nil"/>
              <w:right w:val="nil"/>
            </w:tcBorders>
            <w:shd w:val="clear" w:color="auto" w:fill="auto"/>
            <w:hideMark/>
          </w:tcPr>
          <w:p w14:paraId="1DEEDB7E"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Account Director</w:t>
            </w:r>
            <w:r>
              <w:rPr>
                <w:rStyle w:val="eop"/>
                <w:b/>
                <w:bCs/>
                <w:color w:val="425254"/>
              </w:rPr>
              <w:t> </w:t>
            </w:r>
          </w:p>
        </w:tc>
      </w:tr>
      <w:tr w:rsidR="00C104A3" w14:paraId="0106E57F" w14:textId="77777777" w:rsidTr="00C104A3">
        <w:trPr>
          <w:trHeight w:val="300"/>
        </w:trPr>
        <w:tc>
          <w:tcPr>
            <w:tcW w:w="5025" w:type="dxa"/>
            <w:tcBorders>
              <w:top w:val="nil"/>
              <w:left w:val="nil"/>
              <w:bottom w:val="nil"/>
              <w:right w:val="nil"/>
            </w:tcBorders>
            <w:shd w:val="clear" w:color="auto" w:fill="auto"/>
            <w:hideMark/>
          </w:tcPr>
          <w:p w14:paraId="63428448"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T: +420 731 613 606</w:t>
            </w:r>
            <w:r>
              <w:rPr>
                <w:rStyle w:val="tabchar"/>
                <w:rFonts w:ascii="Calibri" w:hAnsi="Calibri" w:cs="Calibri"/>
                <w:color w:val="425254"/>
              </w:rPr>
              <w:tab/>
            </w:r>
            <w:r>
              <w:rPr>
                <w:rStyle w:val="eop"/>
                <w:b/>
                <w:bCs/>
                <w:color w:val="425254"/>
              </w:rPr>
              <w:t> </w:t>
            </w:r>
          </w:p>
        </w:tc>
        <w:tc>
          <w:tcPr>
            <w:tcW w:w="5025" w:type="dxa"/>
            <w:tcBorders>
              <w:top w:val="nil"/>
              <w:left w:val="nil"/>
              <w:bottom w:val="nil"/>
              <w:right w:val="nil"/>
            </w:tcBorders>
            <w:shd w:val="clear" w:color="auto" w:fill="auto"/>
            <w:hideMark/>
          </w:tcPr>
          <w:p w14:paraId="09D9BBD1"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T: +420 731 613 609</w:t>
            </w:r>
            <w:r>
              <w:rPr>
                <w:rStyle w:val="eop"/>
                <w:b/>
                <w:bCs/>
                <w:color w:val="425254"/>
              </w:rPr>
              <w:t> </w:t>
            </w:r>
          </w:p>
        </w:tc>
      </w:tr>
      <w:tr w:rsidR="00C104A3" w14:paraId="7ED32CC2" w14:textId="77777777" w:rsidTr="00C104A3">
        <w:trPr>
          <w:trHeight w:val="300"/>
        </w:trPr>
        <w:tc>
          <w:tcPr>
            <w:tcW w:w="5025" w:type="dxa"/>
            <w:tcBorders>
              <w:top w:val="nil"/>
              <w:left w:val="nil"/>
              <w:bottom w:val="nil"/>
              <w:right w:val="nil"/>
            </w:tcBorders>
            <w:shd w:val="clear" w:color="auto" w:fill="auto"/>
            <w:hideMark/>
          </w:tcPr>
          <w:p w14:paraId="009EDED4"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fr-FR"/>
              </w:rPr>
              <w:t xml:space="preserve">e-mail: </w:t>
            </w:r>
            <w:r>
              <w:rPr>
                <w:rStyle w:val="normaltextrun"/>
                <w:color w:val="80BBAD"/>
                <w:u w:val="single"/>
                <w:lang w:val="fr-FR"/>
              </w:rPr>
              <w:t>denisa.kolarikova@cbre.com</w:t>
            </w:r>
            <w:r>
              <w:rPr>
                <w:rStyle w:val="tabchar"/>
                <w:rFonts w:ascii="Calibri" w:hAnsi="Calibri" w:cs="Calibri"/>
                <w:color w:val="80BBAD"/>
              </w:rPr>
              <w:tab/>
            </w:r>
            <w:r>
              <w:rPr>
                <w:rStyle w:val="tabchar"/>
                <w:rFonts w:ascii="Calibri" w:hAnsi="Calibri" w:cs="Calibri"/>
                <w:color w:val="425254"/>
              </w:rPr>
              <w:tab/>
            </w:r>
            <w:r>
              <w:rPr>
                <w:rStyle w:val="eop"/>
                <w:b/>
                <w:bCs/>
                <w:color w:val="425254"/>
              </w:rPr>
              <w:t> </w:t>
            </w:r>
          </w:p>
        </w:tc>
        <w:tc>
          <w:tcPr>
            <w:tcW w:w="5025" w:type="dxa"/>
            <w:tcBorders>
              <w:top w:val="nil"/>
              <w:left w:val="nil"/>
              <w:bottom w:val="nil"/>
              <w:right w:val="nil"/>
            </w:tcBorders>
            <w:shd w:val="clear" w:color="auto" w:fill="auto"/>
            <w:hideMark/>
          </w:tcPr>
          <w:p w14:paraId="69D72C80"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fr-FR"/>
              </w:rPr>
              <w:t xml:space="preserve">e- mail: </w:t>
            </w:r>
            <w:hyperlink r:id="rId8" w:tgtFrame="_blank" w:history="1">
              <w:r>
                <w:rPr>
                  <w:rStyle w:val="normaltextrun"/>
                  <w:color w:val="80BBAD"/>
                  <w:u w:val="single"/>
                  <w:lang w:val="fr-FR"/>
                </w:rPr>
                <w:t>kamila.cadkova@crestcom.cz</w:t>
              </w:r>
            </w:hyperlink>
            <w:r>
              <w:rPr>
                <w:rStyle w:val="eop"/>
                <w:b/>
                <w:bCs/>
                <w:color w:val="425254"/>
              </w:rPr>
              <w:t> </w:t>
            </w:r>
          </w:p>
        </w:tc>
      </w:tr>
      <w:tr w:rsidR="00C104A3" w14:paraId="7F6D6712" w14:textId="77777777" w:rsidTr="00C104A3">
        <w:trPr>
          <w:trHeight w:val="300"/>
        </w:trPr>
        <w:tc>
          <w:tcPr>
            <w:tcW w:w="5025" w:type="dxa"/>
            <w:tcBorders>
              <w:top w:val="nil"/>
              <w:left w:val="nil"/>
              <w:bottom w:val="nil"/>
              <w:right w:val="nil"/>
            </w:tcBorders>
            <w:shd w:val="clear" w:color="auto" w:fill="auto"/>
            <w:hideMark/>
          </w:tcPr>
          <w:p w14:paraId="0669028B" w14:textId="77777777" w:rsidR="00C104A3" w:rsidRDefault="00000000" w:rsidP="00C104A3">
            <w:pPr>
              <w:pStyle w:val="paragraph"/>
              <w:spacing w:before="0" w:beforeAutospacing="0" w:after="0" w:afterAutospacing="0"/>
              <w:textAlignment w:val="baseline"/>
              <w:rPr>
                <w:b/>
                <w:bCs/>
                <w:color w:val="425254"/>
              </w:rPr>
            </w:pPr>
            <w:hyperlink r:id="rId9" w:tgtFrame="_blank" w:history="1">
              <w:r w:rsidR="00C104A3">
                <w:rPr>
                  <w:rStyle w:val="normaltextrun"/>
                  <w:color w:val="80BBAD"/>
                  <w:u w:val="single"/>
                  <w:lang w:val="en-GB"/>
                </w:rPr>
                <w:t>www.crestcom.cz</w:t>
              </w:r>
            </w:hyperlink>
            <w:r w:rsidR="00C104A3">
              <w:rPr>
                <w:rStyle w:val="normaltextrun"/>
                <w:color w:val="425254"/>
                <w:lang w:val="en-GB"/>
              </w:rPr>
              <w:t> </w:t>
            </w:r>
            <w:r w:rsidR="00C104A3">
              <w:rPr>
                <w:rStyle w:val="eop"/>
                <w:b/>
                <w:bCs/>
                <w:color w:val="425254"/>
              </w:rPr>
              <w:t> </w:t>
            </w:r>
          </w:p>
        </w:tc>
        <w:tc>
          <w:tcPr>
            <w:tcW w:w="5025" w:type="dxa"/>
            <w:tcBorders>
              <w:top w:val="nil"/>
              <w:left w:val="nil"/>
              <w:bottom w:val="nil"/>
              <w:right w:val="nil"/>
            </w:tcBorders>
            <w:shd w:val="clear" w:color="auto" w:fill="auto"/>
            <w:hideMark/>
          </w:tcPr>
          <w:p w14:paraId="05934FEA" w14:textId="77777777" w:rsidR="00C104A3" w:rsidRDefault="00C104A3" w:rsidP="00C104A3">
            <w:pPr>
              <w:pStyle w:val="paragraph"/>
              <w:spacing w:before="0" w:beforeAutospacing="0" w:after="0" w:afterAutospacing="0"/>
              <w:textAlignment w:val="baseline"/>
              <w:rPr>
                <w:b/>
                <w:bCs/>
                <w:color w:val="425254"/>
              </w:rPr>
            </w:pPr>
            <w:r>
              <w:rPr>
                <w:rStyle w:val="eop"/>
                <w:b/>
                <w:bCs/>
                <w:color w:val="425254"/>
              </w:rPr>
              <w:t> </w:t>
            </w:r>
          </w:p>
        </w:tc>
      </w:tr>
    </w:tbl>
    <w:p w14:paraId="23181E0B" w14:textId="77777777" w:rsidR="00C104A3" w:rsidRDefault="00C104A3" w:rsidP="00C104A3">
      <w:pPr>
        <w:pStyle w:val="paragraph"/>
        <w:spacing w:before="0" w:beforeAutospacing="0" w:after="0" w:afterAutospacing="0"/>
        <w:textAlignment w:val="baseline"/>
        <w:rPr>
          <w:rFonts w:ascii="Segoe UI" w:hAnsi="Segoe UI" w:cs="Segoe UI"/>
          <w:b/>
          <w:bCs/>
          <w:color w:val="425254"/>
          <w:sz w:val="18"/>
          <w:szCs w:val="18"/>
        </w:rPr>
      </w:pPr>
      <w:r>
        <w:rPr>
          <w:rStyle w:val="eop"/>
          <w:b/>
          <w:bCs/>
          <w:color w:val="425254"/>
        </w:rPr>
        <w:t> </w:t>
      </w:r>
    </w:p>
    <w:p w14:paraId="6F455340"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b/>
          <w:bCs/>
          <w:color w:val="425254"/>
          <w:lang w:val="en-GB"/>
        </w:rPr>
        <w:t>CBRE </w:t>
      </w:r>
      <w:r>
        <w:rPr>
          <w:rStyle w:val="eop"/>
          <w:color w:val="425254"/>
        </w:rPr>
        <w:t> </w:t>
      </w:r>
    </w:p>
    <w:p w14:paraId="5197B47C"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color w:val="425254"/>
          <w:lang w:val="en-GB"/>
        </w:rPr>
        <w:t xml:space="preserve">Ivana Procházková, Communication Specialist, +420 771 288 023, </w:t>
      </w:r>
      <w:hyperlink r:id="rId10" w:tgtFrame="_blank" w:history="1">
        <w:r>
          <w:rPr>
            <w:rStyle w:val="normaltextrun"/>
            <w:color w:val="80BBAD"/>
            <w:u w:val="single"/>
            <w:lang w:val="en-GB"/>
          </w:rPr>
          <w:t>ivana.prochazkova@cbre.com</w:t>
        </w:r>
      </w:hyperlink>
      <w:r>
        <w:rPr>
          <w:rStyle w:val="normaltextrun"/>
          <w:color w:val="425254"/>
          <w:lang w:val="en-GB"/>
        </w:rPr>
        <w:t>  </w:t>
      </w:r>
      <w:r>
        <w:rPr>
          <w:rStyle w:val="eop"/>
          <w:color w:val="425254"/>
        </w:rPr>
        <w:t> </w:t>
      </w:r>
    </w:p>
    <w:p w14:paraId="43F3EB2A"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color w:val="425254"/>
          <w:lang w:val="sv-SE"/>
        </w:rPr>
        <w:t>CBRE Česká republika</w:t>
      </w:r>
      <w:r>
        <w:rPr>
          <w:rStyle w:val="normaltextrun"/>
          <w:color w:val="1F497D"/>
          <w:lang w:val="sv-SE"/>
        </w:rPr>
        <w:t> </w:t>
      </w:r>
      <w:hyperlink r:id="rId11" w:tgtFrame="_blank" w:history="1">
        <w:r>
          <w:rPr>
            <w:rStyle w:val="normaltextrun"/>
            <w:color w:val="7FBBAD"/>
            <w:lang w:val="sv-SE"/>
          </w:rPr>
          <w:t>Facebook</w:t>
        </w:r>
      </w:hyperlink>
      <w:r>
        <w:rPr>
          <w:rStyle w:val="normaltextrun"/>
          <w:color w:val="7FBBAD"/>
          <w:lang w:val="sv-SE"/>
        </w:rPr>
        <w:t xml:space="preserve">, </w:t>
      </w:r>
      <w:hyperlink r:id="rId12" w:tgtFrame="_blank" w:history="1">
        <w:r>
          <w:rPr>
            <w:rStyle w:val="normaltextrun"/>
            <w:color w:val="80BBAD"/>
            <w:u w:val="single"/>
            <w:lang w:val="sv-SE"/>
          </w:rPr>
          <w:t>LinkedIn</w:t>
        </w:r>
      </w:hyperlink>
      <w:r>
        <w:rPr>
          <w:rStyle w:val="normaltextrun"/>
          <w:color w:val="7FBBAD"/>
          <w:u w:val="single"/>
          <w:lang w:val="sv-SE"/>
        </w:rPr>
        <w:t>,</w:t>
      </w:r>
      <w:r>
        <w:rPr>
          <w:rStyle w:val="normaltextrun"/>
          <w:color w:val="7FBBAD"/>
          <w:lang w:val="sv-SE"/>
        </w:rPr>
        <w:t xml:space="preserve"> </w:t>
      </w:r>
      <w:hyperlink r:id="rId13" w:tgtFrame="_blank" w:history="1">
        <w:r>
          <w:rPr>
            <w:rStyle w:val="normaltextrun"/>
            <w:color w:val="7FBBAD"/>
            <w:lang w:val="sv-SE"/>
          </w:rPr>
          <w:t>Instagram</w:t>
        </w:r>
      </w:hyperlink>
      <w:r>
        <w:rPr>
          <w:rStyle w:val="normaltextrun"/>
          <w:b/>
          <w:bCs/>
          <w:color w:val="425254"/>
          <w:lang w:val="sv-SE"/>
        </w:rPr>
        <w:t> </w:t>
      </w:r>
      <w:r>
        <w:rPr>
          <w:rStyle w:val="eop"/>
          <w:color w:val="425254"/>
        </w:rPr>
        <w:t> </w:t>
      </w:r>
    </w:p>
    <w:p w14:paraId="7F91763B"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425254"/>
          <w:sz w:val="18"/>
          <w:szCs w:val="18"/>
        </w:rPr>
        <w:t> </w:t>
      </w:r>
    </w:p>
    <w:p w14:paraId="0A71BCAF"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rFonts w:ascii="Calibre" w:hAnsi="Calibre" w:cs="Segoe UI"/>
          <w:color w:val="7F8481"/>
          <w:sz w:val="21"/>
          <w:szCs w:val="21"/>
          <w:u w:val="single"/>
          <w:lang w:val="en-GB"/>
        </w:rPr>
        <w:t>ABOUT CBRE:</w:t>
      </w:r>
      <w:r>
        <w:rPr>
          <w:rStyle w:val="normaltextrun"/>
          <w:rFonts w:ascii="Calibre" w:hAnsi="Calibre" w:cs="Segoe UI"/>
          <w:color w:val="7F8481"/>
          <w:sz w:val="21"/>
          <w:szCs w:val="21"/>
          <w:lang w:val="en-GB"/>
        </w:rPr>
        <w:t> </w:t>
      </w:r>
      <w:r>
        <w:rPr>
          <w:rStyle w:val="eop"/>
          <w:rFonts w:ascii="Calibre" w:hAnsi="Calibre" w:cs="Segoe UI"/>
          <w:color w:val="7F8481"/>
          <w:sz w:val="21"/>
          <w:szCs w:val="21"/>
        </w:rPr>
        <w:t> </w:t>
      </w:r>
    </w:p>
    <w:p w14:paraId="331B35B2" w14:textId="2A80B1DD" w:rsidR="00C104A3" w:rsidRDefault="00C104A3" w:rsidP="002F4155">
      <w:pPr>
        <w:pStyle w:val="paragraph"/>
        <w:spacing w:before="0" w:beforeAutospacing="0" w:after="0" w:afterAutospacing="0"/>
        <w:jc w:val="both"/>
        <w:textAlignment w:val="baseline"/>
        <w:rPr>
          <w:lang w:val="en-GB"/>
        </w:rPr>
      </w:pPr>
      <w:r>
        <w:rPr>
          <w:rStyle w:val="normaltextrun"/>
          <w:rFonts w:ascii="Calibre" w:hAnsi="Calibre" w:cs="Segoe UI"/>
          <w:color w:val="7F8481"/>
          <w:sz w:val="21"/>
          <w:szCs w:val="21"/>
          <w:lang w:val="en-GB"/>
        </w:rPr>
        <w:t>CBRE Group, Inc. (NYSE, CBRE), a Fortune 500 and S&amp;P 500 company headquartered in Dallas, is the world leader in commercial real estate services and investments (based on 2022 revenue). With approximately 115,000 employees (excluding Turner &amp; Townsend employees), it is available to clients in more than 100 countries worldwide. CBRE offers a broad range of integrated services, from facility management and maintenance, commercial transactions, project management and investment consultancy to appraisals and valuation, property leasing and sales, strategic consulting, mortgage services and development services. With almost 350 employees, CBRE Czech Republic manages around 75 commercial buildings with a total area of approximately 1.2 million m</w:t>
      </w:r>
      <w:r w:rsidRPr="009D1ED5">
        <w:rPr>
          <w:rStyle w:val="normaltextrun"/>
          <w:rFonts w:ascii="Calibre" w:hAnsi="Calibre" w:cs="Segoe UI"/>
          <w:color w:val="7F8481"/>
          <w:sz w:val="21"/>
          <w:szCs w:val="21"/>
          <w:vertAlign w:val="superscript"/>
          <w:lang w:val="en-GB"/>
        </w:rPr>
        <w:t>2</w:t>
      </w:r>
      <w:r>
        <w:rPr>
          <w:rStyle w:val="normaltextrun"/>
          <w:rFonts w:ascii="Calibre" w:hAnsi="Calibre" w:cs="Segoe UI"/>
          <w:color w:val="7F8481"/>
          <w:sz w:val="21"/>
          <w:szCs w:val="21"/>
          <w:lang w:val="en-GB"/>
        </w:rPr>
        <w:t xml:space="preserve">. For more information, visit the company’s website at </w:t>
      </w:r>
      <w:hyperlink r:id="rId14" w:tgtFrame="_blank" w:history="1">
        <w:r>
          <w:rPr>
            <w:rStyle w:val="normaltextrun"/>
            <w:rFonts w:ascii="Calibre" w:hAnsi="Calibre" w:cs="Segoe UI"/>
            <w:color w:val="80BBAD"/>
            <w:sz w:val="21"/>
            <w:szCs w:val="21"/>
            <w:u w:val="single"/>
            <w:lang w:val="en-GB"/>
          </w:rPr>
          <w:t>www.cbre.cz</w:t>
        </w:r>
      </w:hyperlink>
      <w:r>
        <w:rPr>
          <w:rStyle w:val="normaltextrun"/>
          <w:rFonts w:ascii="Calibre" w:hAnsi="Calibre" w:cs="Segoe UI"/>
          <w:color w:val="7F8481"/>
          <w:sz w:val="21"/>
          <w:szCs w:val="21"/>
          <w:lang w:val="en-GB"/>
        </w:rPr>
        <w:t>.</w:t>
      </w:r>
      <w:r>
        <w:rPr>
          <w:rStyle w:val="eop"/>
          <w:rFonts w:ascii="Calibre" w:hAnsi="Calibre" w:cs="Segoe UI"/>
          <w:color w:val="7F8481"/>
          <w:sz w:val="21"/>
          <w:szCs w:val="21"/>
        </w:rPr>
        <w:t> </w:t>
      </w:r>
    </w:p>
    <w:sectPr w:rsidR="00C104A3" w:rsidSect="00E01C37">
      <w:headerReference w:type="default" r:id="rId15"/>
      <w:headerReference w:type="first" r:id="rId16"/>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A0D" w14:textId="77777777" w:rsidR="004A7CB8" w:rsidRDefault="004A7CB8">
      <w:r>
        <w:separator/>
      </w:r>
    </w:p>
  </w:endnote>
  <w:endnote w:type="continuationSeparator" w:id="0">
    <w:p w14:paraId="715A3A77" w14:textId="77777777" w:rsidR="004A7CB8" w:rsidRDefault="004A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e-Regula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2CB5" w14:textId="77777777" w:rsidR="004A7CB8" w:rsidRDefault="004A7CB8">
      <w:r>
        <w:separator/>
      </w:r>
    </w:p>
  </w:footnote>
  <w:footnote w:type="continuationSeparator" w:id="0">
    <w:p w14:paraId="7789ABAA" w14:textId="77777777" w:rsidR="004A7CB8" w:rsidRDefault="004A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D1B" w14:textId="77777777" w:rsidR="00E30CD4" w:rsidRPr="00D45661" w:rsidRDefault="0098649E" w:rsidP="0094537E">
    <w:pPr>
      <w:pStyle w:val="Zhlav"/>
      <w:jc w:val="right"/>
      <w:rPr>
        <w:lang w:val="en-GB"/>
      </w:rPr>
    </w:pPr>
    <w:r w:rsidRPr="00D45661">
      <w:rPr>
        <w:rFonts w:ascii="Calibre" w:hAnsi="Calibre"/>
        <w:color w:val="003D30" w:themeColor="accent6"/>
        <w:sz w:val="16"/>
        <w:lang w:val="en-GB"/>
      </w:rPr>
      <w:t xml:space="preserve">CBRE </w:t>
    </w:r>
    <w:r w:rsidR="0081551A" w:rsidRPr="00D45661">
      <w:rPr>
        <w:rFonts w:ascii="Calibre" w:hAnsi="Calibre"/>
        <w:color w:val="003D30" w:themeColor="accent6"/>
        <w:sz w:val="16"/>
        <w:lang w:val="en-GB"/>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482" w14:textId="77777777" w:rsidR="00E30CD4" w:rsidRDefault="0098649E">
    <w:pPr>
      <w:pStyle w:val="Zhlav"/>
    </w:pPr>
    <w:r w:rsidRPr="00F51DB7">
      <w:rPr>
        <w:noProof/>
        <w:lang w:val="cs-CZ" w:eastAsia="cs-CZ"/>
      </w:rPr>
      <mc:AlternateContent>
        <mc:Choice Requires="wps">
          <w:drawing>
            <wp:anchor distT="0" distB="0" distL="114300" distR="114300" simplePos="0" relativeHeight="251660288" behindDoc="0" locked="0" layoutInCell="1" allowOverlap="1" wp14:anchorId="0E68F316" wp14:editId="6B425873">
              <wp:simplePos x="0" y="0"/>
              <wp:positionH relativeFrom="margin">
                <wp:posOffset>-9525</wp:posOffset>
              </wp:positionH>
              <wp:positionV relativeFrom="paragraph">
                <wp:posOffset>95885</wp:posOffset>
              </wp:positionV>
              <wp:extent cx="6400800" cy="0"/>
              <wp:effectExtent l="0" t="19050" r="19050" b="19050"/>
              <wp:wrapNone/>
              <wp:docPr id="4" name="Přímá spojnice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21EF6"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strokecolor="#003f2d" strokeweight="2.25pt">
              <v:stroke joinstyle="miter"/>
              <w10:wrap anchorx="margin"/>
            </v:line>
          </w:pict>
        </mc:Fallback>
      </mc:AlternateContent>
    </w:r>
    <w:r w:rsidRPr="00F51DB7">
      <w:rPr>
        <w:noProof/>
        <w:lang w:val="cs-CZ" w:eastAsia="cs-CZ"/>
      </w:rPr>
      <w:drawing>
        <wp:anchor distT="0" distB="0" distL="114300" distR="114300" simplePos="0" relativeHeight="251661312" behindDoc="1" locked="0" layoutInCell="1" allowOverlap="1" wp14:anchorId="6B481C3A" wp14:editId="486FBF00">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Obrázek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val="cs-CZ" w:eastAsia="cs-CZ"/>
      </w:rPr>
      <mc:AlternateContent>
        <mc:Choice Requires="wps">
          <w:drawing>
            <wp:anchor distT="0" distB="0" distL="114300" distR="114300" simplePos="0" relativeHeight="251658240" behindDoc="0" locked="0" layoutInCell="1" allowOverlap="1" wp14:anchorId="01FF4C6E" wp14:editId="3A23BAE1">
              <wp:simplePos x="0" y="0"/>
              <wp:positionH relativeFrom="column">
                <wp:posOffset>-9525</wp:posOffset>
              </wp:positionH>
              <wp:positionV relativeFrom="paragraph">
                <wp:posOffset>-685800</wp:posOffset>
              </wp:positionV>
              <wp:extent cx="4443730" cy="535305"/>
              <wp:effectExtent l="0" t="0" r="13970" b="0"/>
              <wp:wrapNone/>
              <wp:docPr id="3" name="Textové pole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07C515F2" w14:textId="77777777" w:rsidR="00E30CD4" w:rsidRPr="00F413B0" w:rsidRDefault="0098649E" w:rsidP="00F51DB7">
                          <w:pPr>
                            <w:rPr>
                              <w:b/>
                              <w:bCs/>
                              <w:color w:val="003F2D"/>
                              <w:spacing w:val="-20"/>
                              <w:sz w:val="80"/>
                              <w:szCs w:val="80"/>
                            </w:rPr>
                          </w:pPr>
                          <w:r>
                            <w:rPr>
                              <w:b/>
                              <w:bCs/>
                              <w:color w:val="003F2D"/>
                              <w:spacing w:val="-20"/>
                              <w:sz w:val="80"/>
                              <w:szCs w:val="80"/>
                              <w:lang w:val="cs-CZ"/>
                            </w:rPr>
                            <w:t>Press</w:t>
                          </w:r>
                          <w:r w:rsidRPr="00F413B0">
                            <w:rPr>
                              <w:b/>
                              <w:bCs/>
                              <w:color w:val="003F2D"/>
                              <w:spacing w:val="-20"/>
                              <w:sz w:val="80"/>
                              <w:szCs w:val="80"/>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FF4C6E" id="_x0000_t202" coordsize="21600,21600" o:spt="202" path="m,l,21600r21600,l21600,xe">
              <v:stroke joinstyle="miter"/>
              <v:path gradientshapeok="t" o:connecttype="rect"/>
            </v:shapetype>
            <v:shape id="Textové pole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" filled="f" stroked="f" strokeweight=".5pt">
              <v:textbox inset="0,0,0,0">
                <w:txbxContent>
                  <w:p w14:paraId="07C515F2" w14:textId="77777777" w:rsidR="00E30CD4" w:rsidRPr="00F413B0" w:rsidRDefault="0098649E" w:rsidP="00F51DB7">
                    <w:pPr>
                      <w:rPr>
                        <w:b/>
                        <w:bCs/>
                        <w:color w:val="003F2D"/>
                        <w:spacing w:val="-20"/>
                        <w:sz w:val="80"/>
                        <w:szCs w:val="80"/>
                      </w:rPr>
                    </w:pPr>
                    <w:r>
                      <w:rPr>
                        <w:b/>
                        <w:bCs/>
                        <w:color w:val="003F2D"/>
                        <w:spacing w:val="-20"/>
                        <w:sz w:val="80"/>
                        <w:szCs w:val="80"/>
                        <w:lang w:val="cs-CZ"/>
                      </w:rPr>
                      <w:t>Press</w:t>
                    </w:r>
                    <w:r w:rsidRPr="00F413B0">
                      <w:rPr>
                        <w:b/>
                        <w:bCs/>
                        <w:color w:val="003F2D"/>
                        <w:spacing w:val="-20"/>
                        <w:sz w:val="80"/>
                        <w:szCs w:val="80"/>
                      </w:rPr>
                      <w:t xml:space="preserve">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BFD"/>
    <w:multiLevelType w:val="hybridMultilevel"/>
    <w:tmpl w:val="AE6CD14E"/>
    <w:lvl w:ilvl="0" w:tplc="28525F1E">
      <w:start w:val="1"/>
      <w:numFmt w:val="decimal"/>
      <w:lvlText w:val="%1."/>
      <w:lvlJc w:val="left"/>
      <w:pPr>
        <w:ind w:left="720" w:hanging="360"/>
      </w:pPr>
    </w:lvl>
    <w:lvl w:ilvl="1" w:tplc="8CA07384">
      <w:start w:val="1"/>
      <w:numFmt w:val="lowerLetter"/>
      <w:lvlText w:val="%2."/>
      <w:lvlJc w:val="left"/>
      <w:pPr>
        <w:ind w:left="1440" w:hanging="360"/>
      </w:pPr>
    </w:lvl>
    <w:lvl w:ilvl="2" w:tplc="030A1656">
      <w:start w:val="1"/>
      <w:numFmt w:val="lowerRoman"/>
      <w:lvlText w:val="%3."/>
      <w:lvlJc w:val="right"/>
      <w:pPr>
        <w:ind w:left="2160" w:hanging="180"/>
      </w:pPr>
    </w:lvl>
    <w:lvl w:ilvl="3" w:tplc="23A4AF6C">
      <w:start w:val="1"/>
      <w:numFmt w:val="decimal"/>
      <w:lvlText w:val="%4."/>
      <w:lvlJc w:val="left"/>
      <w:pPr>
        <w:ind w:left="2880" w:hanging="360"/>
      </w:pPr>
    </w:lvl>
    <w:lvl w:ilvl="4" w:tplc="3C969A20">
      <w:start w:val="1"/>
      <w:numFmt w:val="lowerLetter"/>
      <w:lvlText w:val="%5."/>
      <w:lvlJc w:val="left"/>
      <w:pPr>
        <w:ind w:left="3600" w:hanging="360"/>
      </w:pPr>
    </w:lvl>
    <w:lvl w:ilvl="5" w:tplc="64322A70">
      <w:start w:val="1"/>
      <w:numFmt w:val="lowerRoman"/>
      <w:lvlText w:val="%6."/>
      <w:lvlJc w:val="right"/>
      <w:pPr>
        <w:ind w:left="4320" w:hanging="180"/>
      </w:pPr>
    </w:lvl>
    <w:lvl w:ilvl="6" w:tplc="9A321746">
      <w:start w:val="1"/>
      <w:numFmt w:val="decimal"/>
      <w:lvlText w:val="%7."/>
      <w:lvlJc w:val="left"/>
      <w:pPr>
        <w:ind w:left="5040" w:hanging="360"/>
      </w:pPr>
    </w:lvl>
    <w:lvl w:ilvl="7" w:tplc="2408B526">
      <w:start w:val="1"/>
      <w:numFmt w:val="lowerLetter"/>
      <w:lvlText w:val="%8."/>
      <w:lvlJc w:val="left"/>
      <w:pPr>
        <w:ind w:left="5760" w:hanging="360"/>
      </w:pPr>
    </w:lvl>
    <w:lvl w:ilvl="8" w:tplc="2850EAAE">
      <w:start w:val="1"/>
      <w:numFmt w:val="lowerRoman"/>
      <w:lvlText w:val="%9."/>
      <w:lvlJc w:val="right"/>
      <w:pPr>
        <w:ind w:left="6480" w:hanging="180"/>
      </w:pPr>
    </w:lvl>
  </w:abstractNum>
  <w:abstractNum w:abstractNumId="1" w15:restartNumberingAfterBreak="0">
    <w:nsid w:val="08931D54"/>
    <w:multiLevelType w:val="hybridMultilevel"/>
    <w:tmpl w:val="959284C2"/>
    <w:lvl w:ilvl="0" w:tplc="DD7688F8">
      <w:start w:val="1"/>
      <w:numFmt w:val="bullet"/>
      <w:lvlText w:val=""/>
      <w:lvlJc w:val="left"/>
      <w:pPr>
        <w:ind w:left="720" w:hanging="360"/>
      </w:pPr>
      <w:rPr>
        <w:rFonts w:ascii="Symbol" w:hAnsi="Symbol" w:hint="default"/>
      </w:rPr>
    </w:lvl>
    <w:lvl w:ilvl="1" w:tplc="14B269C6" w:tentative="1">
      <w:start w:val="1"/>
      <w:numFmt w:val="bullet"/>
      <w:lvlText w:val="o"/>
      <w:lvlJc w:val="left"/>
      <w:pPr>
        <w:ind w:left="1440" w:hanging="360"/>
      </w:pPr>
      <w:rPr>
        <w:rFonts w:ascii="Courier New" w:hAnsi="Courier New" w:cs="Courier New" w:hint="default"/>
      </w:rPr>
    </w:lvl>
    <w:lvl w:ilvl="2" w:tplc="399C8466" w:tentative="1">
      <w:start w:val="1"/>
      <w:numFmt w:val="bullet"/>
      <w:lvlText w:val=""/>
      <w:lvlJc w:val="left"/>
      <w:pPr>
        <w:ind w:left="2160" w:hanging="360"/>
      </w:pPr>
      <w:rPr>
        <w:rFonts w:ascii="Wingdings" w:hAnsi="Wingdings" w:hint="default"/>
      </w:rPr>
    </w:lvl>
    <w:lvl w:ilvl="3" w:tplc="E5DCF046" w:tentative="1">
      <w:start w:val="1"/>
      <w:numFmt w:val="bullet"/>
      <w:lvlText w:val=""/>
      <w:lvlJc w:val="left"/>
      <w:pPr>
        <w:ind w:left="2880" w:hanging="360"/>
      </w:pPr>
      <w:rPr>
        <w:rFonts w:ascii="Symbol" w:hAnsi="Symbol" w:hint="default"/>
      </w:rPr>
    </w:lvl>
    <w:lvl w:ilvl="4" w:tplc="45E48A8A" w:tentative="1">
      <w:start w:val="1"/>
      <w:numFmt w:val="bullet"/>
      <w:lvlText w:val="o"/>
      <w:lvlJc w:val="left"/>
      <w:pPr>
        <w:ind w:left="3600" w:hanging="360"/>
      </w:pPr>
      <w:rPr>
        <w:rFonts w:ascii="Courier New" w:hAnsi="Courier New" w:cs="Courier New" w:hint="default"/>
      </w:rPr>
    </w:lvl>
    <w:lvl w:ilvl="5" w:tplc="68502328" w:tentative="1">
      <w:start w:val="1"/>
      <w:numFmt w:val="bullet"/>
      <w:lvlText w:val=""/>
      <w:lvlJc w:val="left"/>
      <w:pPr>
        <w:ind w:left="4320" w:hanging="360"/>
      </w:pPr>
      <w:rPr>
        <w:rFonts w:ascii="Wingdings" w:hAnsi="Wingdings" w:hint="default"/>
      </w:rPr>
    </w:lvl>
    <w:lvl w:ilvl="6" w:tplc="FA6E0368" w:tentative="1">
      <w:start w:val="1"/>
      <w:numFmt w:val="bullet"/>
      <w:lvlText w:val=""/>
      <w:lvlJc w:val="left"/>
      <w:pPr>
        <w:ind w:left="5040" w:hanging="360"/>
      </w:pPr>
      <w:rPr>
        <w:rFonts w:ascii="Symbol" w:hAnsi="Symbol" w:hint="default"/>
      </w:rPr>
    </w:lvl>
    <w:lvl w:ilvl="7" w:tplc="E9A280E4" w:tentative="1">
      <w:start w:val="1"/>
      <w:numFmt w:val="bullet"/>
      <w:lvlText w:val="o"/>
      <w:lvlJc w:val="left"/>
      <w:pPr>
        <w:ind w:left="5760" w:hanging="360"/>
      </w:pPr>
      <w:rPr>
        <w:rFonts w:ascii="Courier New" w:hAnsi="Courier New" w:cs="Courier New" w:hint="default"/>
      </w:rPr>
    </w:lvl>
    <w:lvl w:ilvl="8" w:tplc="3E4EB3F6" w:tentative="1">
      <w:start w:val="1"/>
      <w:numFmt w:val="bullet"/>
      <w:lvlText w:val=""/>
      <w:lvlJc w:val="left"/>
      <w:pPr>
        <w:ind w:left="6480" w:hanging="360"/>
      </w:pPr>
      <w:rPr>
        <w:rFonts w:ascii="Wingdings" w:hAnsi="Wingdings" w:hint="default"/>
      </w:rPr>
    </w:lvl>
  </w:abstractNum>
  <w:abstractNum w:abstractNumId="2" w15:restartNumberingAfterBreak="0">
    <w:nsid w:val="0D104D1E"/>
    <w:multiLevelType w:val="hybridMultilevel"/>
    <w:tmpl w:val="114AA97C"/>
    <w:lvl w:ilvl="0" w:tplc="67A0C676">
      <w:start w:val="1"/>
      <w:numFmt w:val="bullet"/>
      <w:lvlText w:val=""/>
      <w:lvlJc w:val="left"/>
      <w:pPr>
        <w:ind w:left="720" w:hanging="360"/>
      </w:pPr>
      <w:rPr>
        <w:rFonts w:ascii="Symbol" w:hAnsi="Symbol" w:hint="default"/>
      </w:rPr>
    </w:lvl>
    <w:lvl w:ilvl="1" w:tplc="498CCBFE" w:tentative="1">
      <w:start w:val="1"/>
      <w:numFmt w:val="bullet"/>
      <w:lvlText w:val="o"/>
      <w:lvlJc w:val="left"/>
      <w:pPr>
        <w:ind w:left="1440" w:hanging="360"/>
      </w:pPr>
      <w:rPr>
        <w:rFonts w:ascii="Courier New" w:hAnsi="Courier New" w:cs="Courier New" w:hint="default"/>
      </w:rPr>
    </w:lvl>
    <w:lvl w:ilvl="2" w:tplc="7EFC24F0" w:tentative="1">
      <w:start w:val="1"/>
      <w:numFmt w:val="bullet"/>
      <w:lvlText w:val=""/>
      <w:lvlJc w:val="left"/>
      <w:pPr>
        <w:ind w:left="2160" w:hanging="360"/>
      </w:pPr>
      <w:rPr>
        <w:rFonts w:ascii="Wingdings" w:hAnsi="Wingdings" w:hint="default"/>
      </w:rPr>
    </w:lvl>
    <w:lvl w:ilvl="3" w:tplc="83BC4CEC" w:tentative="1">
      <w:start w:val="1"/>
      <w:numFmt w:val="bullet"/>
      <w:lvlText w:val=""/>
      <w:lvlJc w:val="left"/>
      <w:pPr>
        <w:ind w:left="2880" w:hanging="360"/>
      </w:pPr>
      <w:rPr>
        <w:rFonts w:ascii="Symbol" w:hAnsi="Symbol" w:hint="default"/>
      </w:rPr>
    </w:lvl>
    <w:lvl w:ilvl="4" w:tplc="912A7F7A" w:tentative="1">
      <w:start w:val="1"/>
      <w:numFmt w:val="bullet"/>
      <w:lvlText w:val="o"/>
      <w:lvlJc w:val="left"/>
      <w:pPr>
        <w:ind w:left="3600" w:hanging="360"/>
      </w:pPr>
      <w:rPr>
        <w:rFonts w:ascii="Courier New" w:hAnsi="Courier New" w:cs="Courier New" w:hint="default"/>
      </w:rPr>
    </w:lvl>
    <w:lvl w:ilvl="5" w:tplc="FE801E6A" w:tentative="1">
      <w:start w:val="1"/>
      <w:numFmt w:val="bullet"/>
      <w:lvlText w:val=""/>
      <w:lvlJc w:val="left"/>
      <w:pPr>
        <w:ind w:left="4320" w:hanging="360"/>
      </w:pPr>
      <w:rPr>
        <w:rFonts w:ascii="Wingdings" w:hAnsi="Wingdings" w:hint="default"/>
      </w:rPr>
    </w:lvl>
    <w:lvl w:ilvl="6" w:tplc="08261C28" w:tentative="1">
      <w:start w:val="1"/>
      <w:numFmt w:val="bullet"/>
      <w:lvlText w:val=""/>
      <w:lvlJc w:val="left"/>
      <w:pPr>
        <w:ind w:left="5040" w:hanging="360"/>
      </w:pPr>
      <w:rPr>
        <w:rFonts w:ascii="Symbol" w:hAnsi="Symbol" w:hint="default"/>
      </w:rPr>
    </w:lvl>
    <w:lvl w:ilvl="7" w:tplc="96E2095A" w:tentative="1">
      <w:start w:val="1"/>
      <w:numFmt w:val="bullet"/>
      <w:lvlText w:val="o"/>
      <w:lvlJc w:val="left"/>
      <w:pPr>
        <w:ind w:left="5760" w:hanging="360"/>
      </w:pPr>
      <w:rPr>
        <w:rFonts w:ascii="Courier New" w:hAnsi="Courier New" w:cs="Courier New" w:hint="default"/>
      </w:rPr>
    </w:lvl>
    <w:lvl w:ilvl="8" w:tplc="27707764" w:tentative="1">
      <w:start w:val="1"/>
      <w:numFmt w:val="bullet"/>
      <w:lvlText w:val=""/>
      <w:lvlJc w:val="left"/>
      <w:pPr>
        <w:ind w:left="6480" w:hanging="360"/>
      </w:pPr>
      <w:rPr>
        <w:rFonts w:ascii="Wingdings" w:hAnsi="Wingdings" w:hint="default"/>
      </w:rPr>
    </w:lvl>
  </w:abstractNum>
  <w:abstractNum w:abstractNumId="3" w15:restartNumberingAfterBreak="0">
    <w:nsid w:val="10CF7EE0"/>
    <w:multiLevelType w:val="hybridMultilevel"/>
    <w:tmpl w:val="64EAEFEA"/>
    <w:lvl w:ilvl="0" w:tplc="5F2CB494">
      <w:start w:val="1"/>
      <w:numFmt w:val="bullet"/>
      <w:lvlText w:val=""/>
      <w:lvlJc w:val="left"/>
      <w:pPr>
        <w:ind w:left="720" w:hanging="360"/>
      </w:pPr>
      <w:rPr>
        <w:rFonts w:ascii="Symbol" w:hAnsi="Symbol" w:hint="default"/>
      </w:rPr>
    </w:lvl>
    <w:lvl w:ilvl="1" w:tplc="10FC19A2" w:tentative="1">
      <w:start w:val="1"/>
      <w:numFmt w:val="bullet"/>
      <w:lvlText w:val="o"/>
      <w:lvlJc w:val="left"/>
      <w:pPr>
        <w:ind w:left="1440" w:hanging="360"/>
      </w:pPr>
      <w:rPr>
        <w:rFonts w:ascii="Courier New" w:hAnsi="Courier New" w:cs="Courier New" w:hint="default"/>
      </w:rPr>
    </w:lvl>
    <w:lvl w:ilvl="2" w:tplc="DC9E47CC" w:tentative="1">
      <w:start w:val="1"/>
      <w:numFmt w:val="bullet"/>
      <w:lvlText w:val=""/>
      <w:lvlJc w:val="left"/>
      <w:pPr>
        <w:ind w:left="2160" w:hanging="360"/>
      </w:pPr>
      <w:rPr>
        <w:rFonts w:ascii="Wingdings" w:hAnsi="Wingdings" w:hint="default"/>
      </w:rPr>
    </w:lvl>
    <w:lvl w:ilvl="3" w:tplc="E5404C5E" w:tentative="1">
      <w:start w:val="1"/>
      <w:numFmt w:val="bullet"/>
      <w:lvlText w:val=""/>
      <w:lvlJc w:val="left"/>
      <w:pPr>
        <w:ind w:left="2880" w:hanging="360"/>
      </w:pPr>
      <w:rPr>
        <w:rFonts w:ascii="Symbol" w:hAnsi="Symbol" w:hint="default"/>
      </w:rPr>
    </w:lvl>
    <w:lvl w:ilvl="4" w:tplc="42DAFAD4" w:tentative="1">
      <w:start w:val="1"/>
      <w:numFmt w:val="bullet"/>
      <w:lvlText w:val="o"/>
      <w:lvlJc w:val="left"/>
      <w:pPr>
        <w:ind w:left="3600" w:hanging="360"/>
      </w:pPr>
      <w:rPr>
        <w:rFonts w:ascii="Courier New" w:hAnsi="Courier New" w:cs="Courier New" w:hint="default"/>
      </w:rPr>
    </w:lvl>
    <w:lvl w:ilvl="5" w:tplc="1C94CFC8" w:tentative="1">
      <w:start w:val="1"/>
      <w:numFmt w:val="bullet"/>
      <w:lvlText w:val=""/>
      <w:lvlJc w:val="left"/>
      <w:pPr>
        <w:ind w:left="4320" w:hanging="360"/>
      </w:pPr>
      <w:rPr>
        <w:rFonts w:ascii="Wingdings" w:hAnsi="Wingdings" w:hint="default"/>
      </w:rPr>
    </w:lvl>
    <w:lvl w:ilvl="6" w:tplc="C78CFEC8" w:tentative="1">
      <w:start w:val="1"/>
      <w:numFmt w:val="bullet"/>
      <w:lvlText w:val=""/>
      <w:lvlJc w:val="left"/>
      <w:pPr>
        <w:ind w:left="5040" w:hanging="360"/>
      </w:pPr>
      <w:rPr>
        <w:rFonts w:ascii="Symbol" w:hAnsi="Symbol" w:hint="default"/>
      </w:rPr>
    </w:lvl>
    <w:lvl w:ilvl="7" w:tplc="C5749CC4" w:tentative="1">
      <w:start w:val="1"/>
      <w:numFmt w:val="bullet"/>
      <w:lvlText w:val="o"/>
      <w:lvlJc w:val="left"/>
      <w:pPr>
        <w:ind w:left="5760" w:hanging="360"/>
      </w:pPr>
      <w:rPr>
        <w:rFonts w:ascii="Courier New" w:hAnsi="Courier New" w:cs="Courier New" w:hint="default"/>
      </w:rPr>
    </w:lvl>
    <w:lvl w:ilvl="8" w:tplc="A7A4C2C4" w:tentative="1">
      <w:start w:val="1"/>
      <w:numFmt w:val="bullet"/>
      <w:lvlText w:val=""/>
      <w:lvlJc w:val="left"/>
      <w:pPr>
        <w:ind w:left="6480" w:hanging="360"/>
      </w:pPr>
      <w:rPr>
        <w:rFonts w:ascii="Wingdings" w:hAnsi="Wingdings" w:hint="default"/>
      </w:rPr>
    </w:lvl>
  </w:abstractNum>
  <w:abstractNum w:abstractNumId="4" w15:restartNumberingAfterBreak="0">
    <w:nsid w:val="1BBC25BE"/>
    <w:multiLevelType w:val="hybridMultilevel"/>
    <w:tmpl w:val="52FC0CAA"/>
    <w:lvl w:ilvl="0" w:tplc="81AC1FC4">
      <w:start w:val="1"/>
      <w:numFmt w:val="bullet"/>
      <w:lvlText w:val=""/>
      <w:lvlJc w:val="left"/>
      <w:pPr>
        <w:ind w:left="720" w:hanging="360"/>
      </w:pPr>
      <w:rPr>
        <w:rFonts w:ascii="Symbol" w:hAnsi="Symbol" w:hint="default"/>
      </w:rPr>
    </w:lvl>
    <w:lvl w:ilvl="1" w:tplc="1F2063B4">
      <w:start w:val="1"/>
      <w:numFmt w:val="bullet"/>
      <w:lvlText w:val="o"/>
      <w:lvlJc w:val="left"/>
      <w:pPr>
        <w:ind w:left="1440" w:hanging="360"/>
      </w:pPr>
      <w:rPr>
        <w:rFonts w:ascii="Courier New" w:hAnsi="Courier New" w:cs="Courier New" w:hint="default"/>
      </w:rPr>
    </w:lvl>
    <w:lvl w:ilvl="2" w:tplc="44AC05EE">
      <w:start w:val="1"/>
      <w:numFmt w:val="bullet"/>
      <w:lvlText w:val=""/>
      <w:lvlJc w:val="left"/>
      <w:pPr>
        <w:ind w:left="2160" w:hanging="360"/>
      </w:pPr>
      <w:rPr>
        <w:rFonts w:ascii="Wingdings" w:hAnsi="Wingdings" w:hint="default"/>
      </w:rPr>
    </w:lvl>
    <w:lvl w:ilvl="3" w:tplc="DB9A4402">
      <w:start w:val="1"/>
      <w:numFmt w:val="bullet"/>
      <w:lvlText w:val=""/>
      <w:lvlJc w:val="left"/>
      <w:pPr>
        <w:ind w:left="2880" w:hanging="360"/>
      </w:pPr>
      <w:rPr>
        <w:rFonts w:ascii="Symbol" w:hAnsi="Symbol" w:hint="default"/>
      </w:rPr>
    </w:lvl>
    <w:lvl w:ilvl="4" w:tplc="706EB2FE">
      <w:start w:val="1"/>
      <w:numFmt w:val="bullet"/>
      <w:lvlText w:val="o"/>
      <w:lvlJc w:val="left"/>
      <w:pPr>
        <w:ind w:left="3600" w:hanging="360"/>
      </w:pPr>
      <w:rPr>
        <w:rFonts w:ascii="Courier New" w:hAnsi="Courier New" w:cs="Courier New" w:hint="default"/>
      </w:rPr>
    </w:lvl>
    <w:lvl w:ilvl="5" w:tplc="65A83B92">
      <w:start w:val="1"/>
      <w:numFmt w:val="bullet"/>
      <w:lvlText w:val=""/>
      <w:lvlJc w:val="left"/>
      <w:pPr>
        <w:ind w:left="4320" w:hanging="360"/>
      </w:pPr>
      <w:rPr>
        <w:rFonts w:ascii="Wingdings" w:hAnsi="Wingdings" w:hint="default"/>
      </w:rPr>
    </w:lvl>
    <w:lvl w:ilvl="6" w:tplc="9FC25EFA">
      <w:start w:val="1"/>
      <w:numFmt w:val="bullet"/>
      <w:lvlText w:val=""/>
      <w:lvlJc w:val="left"/>
      <w:pPr>
        <w:ind w:left="5040" w:hanging="360"/>
      </w:pPr>
      <w:rPr>
        <w:rFonts w:ascii="Symbol" w:hAnsi="Symbol" w:hint="default"/>
      </w:rPr>
    </w:lvl>
    <w:lvl w:ilvl="7" w:tplc="2ED40AE6">
      <w:start w:val="1"/>
      <w:numFmt w:val="bullet"/>
      <w:lvlText w:val="o"/>
      <w:lvlJc w:val="left"/>
      <w:pPr>
        <w:ind w:left="5760" w:hanging="360"/>
      </w:pPr>
      <w:rPr>
        <w:rFonts w:ascii="Courier New" w:hAnsi="Courier New" w:cs="Courier New" w:hint="default"/>
      </w:rPr>
    </w:lvl>
    <w:lvl w:ilvl="8" w:tplc="87FC3156">
      <w:start w:val="1"/>
      <w:numFmt w:val="bullet"/>
      <w:lvlText w:val=""/>
      <w:lvlJc w:val="left"/>
      <w:pPr>
        <w:ind w:left="6480" w:hanging="360"/>
      </w:pPr>
      <w:rPr>
        <w:rFonts w:ascii="Wingdings" w:hAnsi="Wingdings" w:hint="default"/>
      </w:rPr>
    </w:lvl>
  </w:abstractNum>
  <w:abstractNum w:abstractNumId="5" w15:restartNumberingAfterBreak="0">
    <w:nsid w:val="33B261AB"/>
    <w:multiLevelType w:val="hybridMultilevel"/>
    <w:tmpl w:val="719274CE"/>
    <w:lvl w:ilvl="0" w:tplc="5B92814E">
      <w:start w:val="1"/>
      <w:numFmt w:val="bullet"/>
      <w:lvlText w:val=""/>
      <w:lvlJc w:val="left"/>
      <w:pPr>
        <w:ind w:left="720" w:hanging="360"/>
      </w:pPr>
      <w:rPr>
        <w:rFonts w:ascii="Symbol" w:hAnsi="Symbol" w:hint="default"/>
      </w:rPr>
    </w:lvl>
    <w:lvl w:ilvl="1" w:tplc="1C3C7AD2" w:tentative="1">
      <w:start w:val="1"/>
      <w:numFmt w:val="bullet"/>
      <w:lvlText w:val="o"/>
      <w:lvlJc w:val="left"/>
      <w:pPr>
        <w:ind w:left="1440" w:hanging="360"/>
      </w:pPr>
      <w:rPr>
        <w:rFonts w:ascii="Courier New" w:hAnsi="Courier New" w:cs="Courier New" w:hint="default"/>
      </w:rPr>
    </w:lvl>
    <w:lvl w:ilvl="2" w:tplc="412C917E" w:tentative="1">
      <w:start w:val="1"/>
      <w:numFmt w:val="bullet"/>
      <w:lvlText w:val=""/>
      <w:lvlJc w:val="left"/>
      <w:pPr>
        <w:ind w:left="2160" w:hanging="360"/>
      </w:pPr>
      <w:rPr>
        <w:rFonts w:ascii="Wingdings" w:hAnsi="Wingdings" w:hint="default"/>
      </w:rPr>
    </w:lvl>
    <w:lvl w:ilvl="3" w:tplc="1518A4C6" w:tentative="1">
      <w:start w:val="1"/>
      <w:numFmt w:val="bullet"/>
      <w:lvlText w:val=""/>
      <w:lvlJc w:val="left"/>
      <w:pPr>
        <w:ind w:left="2880" w:hanging="360"/>
      </w:pPr>
      <w:rPr>
        <w:rFonts w:ascii="Symbol" w:hAnsi="Symbol" w:hint="default"/>
      </w:rPr>
    </w:lvl>
    <w:lvl w:ilvl="4" w:tplc="BB3433EC" w:tentative="1">
      <w:start w:val="1"/>
      <w:numFmt w:val="bullet"/>
      <w:lvlText w:val="o"/>
      <w:lvlJc w:val="left"/>
      <w:pPr>
        <w:ind w:left="3600" w:hanging="360"/>
      </w:pPr>
      <w:rPr>
        <w:rFonts w:ascii="Courier New" w:hAnsi="Courier New" w:cs="Courier New" w:hint="default"/>
      </w:rPr>
    </w:lvl>
    <w:lvl w:ilvl="5" w:tplc="5DBEC144" w:tentative="1">
      <w:start w:val="1"/>
      <w:numFmt w:val="bullet"/>
      <w:lvlText w:val=""/>
      <w:lvlJc w:val="left"/>
      <w:pPr>
        <w:ind w:left="4320" w:hanging="360"/>
      </w:pPr>
      <w:rPr>
        <w:rFonts w:ascii="Wingdings" w:hAnsi="Wingdings" w:hint="default"/>
      </w:rPr>
    </w:lvl>
    <w:lvl w:ilvl="6" w:tplc="D3DC2EB0" w:tentative="1">
      <w:start w:val="1"/>
      <w:numFmt w:val="bullet"/>
      <w:lvlText w:val=""/>
      <w:lvlJc w:val="left"/>
      <w:pPr>
        <w:ind w:left="5040" w:hanging="360"/>
      </w:pPr>
      <w:rPr>
        <w:rFonts w:ascii="Symbol" w:hAnsi="Symbol" w:hint="default"/>
      </w:rPr>
    </w:lvl>
    <w:lvl w:ilvl="7" w:tplc="77E648C6" w:tentative="1">
      <w:start w:val="1"/>
      <w:numFmt w:val="bullet"/>
      <w:lvlText w:val="o"/>
      <w:lvlJc w:val="left"/>
      <w:pPr>
        <w:ind w:left="5760" w:hanging="360"/>
      </w:pPr>
      <w:rPr>
        <w:rFonts w:ascii="Courier New" w:hAnsi="Courier New" w:cs="Courier New" w:hint="default"/>
      </w:rPr>
    </w:lvl>
    <w:lvl w:ilvl="8" w:tplc="40B85C5A" w:tentative="1">
      <w:start w:val="1"/>
      <w:numFmt w:val="bullet"/>
      <w:lvlText w:val=""/>
      <w:lvlJc w:val="left"/>
      <w:pPr>
        <w:ind w:left="6480" w:hanging="360"/>
      </w:pPr>
      <w:rPr>
        <w:rFonts w:ascii="Wingdings" w:hAnsi="Wingdings" w:hint="default"/>
      </w:rPr>
    </w:lvl>
  </w:abstractNum>
  <w:abstractNum w:abstractNumId="6" w15:restartNumberingAfterBreak="0">
    <w:nsid w:val="3A231014"/>
    <w:multiLevelType w:val="hybridMultilevel"/>
    <w:tmpl w:val="FE7CA86E"/>
    <w:lvl w:ilvl="0" w:tplc="BFD8379C">
      <w:start w:val="8"/>
      <w:numFmt w:val="bullet"/>
      <w:lvlText w:val="-"/>
      <w:lvlJc w:val="left"/>
      <w:pPr>
        <w:ind w:left="720" w:hanging="360"/>
      </w:pPr>
      <w:rPr>
        <w:rFonts w:ascii="Calibri" w:eastAsia="Calibri" w:hAnsi="Calibri" w:cs="Calibri" w:hint="default"/>
      </w:rPr>
    </w:lvl>
    <w:lvl w:ilvl="1" w:tplc="C11E2D3A">
      <w:start w:val="1"/>
      <w:numFmt w:val="bullet"/>
      <w:lvlText w:val="o"/>
      <w:lvlJc w:val="left"/>
      <w:pPr>
        <w:ind w:left="1440" w:hanging="360"/>
      </w:pPr>
      <w:rPr>
        <w:rFonts w:ascii="Courier New" w:hAnsi="Courier New" w:cs="Courier New" w:hint="default"/>
      </w:rPr>
    </w:lvl>
    <w:lvl w:ilvl="2" w:tplc="7BEEEB52">
      <w:start w:val="1"/>
      <w:numFmt w:val="bullet"/>
      <w:lvlText w:val=""/>
      <w:lvlJc w:val="left"/>
      <w:pPr>
        <w:ind w:left="2160" w:hanging="360"/>
      </w:pPr>
      <w:rPr>
        <w:rFonts w:ascii="Wingdings" w:hAnsi="Wingdings" w:hint="default"/>
      </w:rPr>
    </w:lvl>
    <w:lvl w:ilvl="3" w:tplc="7174D540">
      <w:start w:val="1"/>
      <w:numFmt w:val="bullet"/>
      <w:lvlText w:val=""/>
      <w:lvlJc w:val="left"/>
      <w:pPr>
        <w:ind w:left="2880" w:hanging="360"/>
      </w:pPr>
      <w:rPr>
        <w:rFonts w:ascii="Symbol" w:hAnsi="Symbol" w:hint="default"/>
      </w:rPr>
    </w:lvl>
    <w:lvl w:ilvl="4" w:tplc="83945742">
      <w:start w:val="1"/>
      <w:numFmt w:val="bullet"/>
      <w:lvlText w:val="o"/>
      <w:lvlJc w:val="left"/>
      <w:pPr>
        <w:ind w:left="3600" w:hanging="360"/>
      </w:pPr>
      <w:rPr>
        <w:rFonts w:ascii="Courier New" w:hAnsi="Courier New" w:cs="Courier New" w:hint="default"/>
      </w:rPr>
    </w:lvl>
    <w:lvl w:ilvl="5" w:tplc="03D44968">
      <w:start w:val="1"/>
      <w:numFmt w:val="bullet"/>
      <w:lvlText w:val=""/>
      <w:lvlJc w:val="left"/>
      <w:pPr>
        <w:ind w:left="4320" w:hanging="360"/>
      </w:pPr>
      <w:rPr>
        <w:rFonts w:ascii="Wingdings" w:hAnsi="Wingdings" w:hint="default"/>
      </w:rPr>
    </w:lvl>
    <w:lvl w:ilvl="6" w:tplc="7444E6B4">
      <w:start w:val="1"/>
      <w:numFmt w:val="bullet"/>
      <w:lvlText w:val=""/>
      <w:lvlJc w:val="left"/>
      <w:pPr>
        <w:ind w:left="5040" w:hanging="360"/>
      </w:pPr>
      <w:rPr>
        <w:rFonts w:ascii="Symbol" w:hAnsi="Symbol" w:hint="default"/>
      </w:rPr>
    </w:lvl>
    <w:lvl w:ilvl="7" w:tplc="2ED88852">
      <w:start w:val="1"/>
      <w:numFmt w:val="bullet"/>
      <w:lvlText w:val="o"/>
      <w:lvlJc w:val="left"/>
      <w:pPr>
        <w:ind w:left="5760" w:hanging="360"/>
      </w:pPr>
      <w:rPr>
        <w:rFonts w:ascii="Courier New" w:hAnsi="Courier New" w:cs="Courier New" w:hint="default"/>
      </w:rPr>
    </w:lvl>
    <w:lvl w:ilvl="8" w:tplc="5B92725C">
      <w:start w:val="1"/>
      <w:numFmt w:val="bullet"/>
      <w:lvlText w:val=""/>
      <w:lvlJc w:val="left"/>
      <w:pPr>
        <w:ind w:left="6480" w:hanging="360"/>
      </w:pPr>
      <w:rPr>
        <w:rFonts w:ascii="Wingdings" w:hAnsi="Wingdings" w:hint="default"/>
      </w:rPr>
    </w:lvl>
  </w:abstractNum>
  <w:abstractNum w:abstractNumId="7" w15:restartNumberingAfterBreak="0">
    <w:nsid w:val="54B4457A"/>
    <w:multiLevelType w:val="hybridMultilevel"/>
    <w:tmpl w:val="38D26168"/>
    <w:lvl w:ilvl="0" w:tplc="F6385724">
      <w:start w:val="1"/>
      <w:numFmt w:val="bullet"/>
      <w:lvlText w:val=""/>
      <w:lvlJc w:val="left"/>
      <w:pPr>
        <w:ind w:left="720" w:hanging="360"/>
      </w:pPr>
      <w:rPr>
        <w:rFonts w:ascii="Symbol" w:hAnsi="Symbol" w:hint="default"/>
      </w:rPr>
    </w:lvl>
    <w:lvl w:ilvl="1" w:tplc="8F7ADFEA" w:tentative="1">
      <w:start w:val="1"/>
      <w:numFmt w:val="bullet"/>
      <w:lvlText w:val="o"/>
      <w:lvlJc w:val="left"/>
      <w:pPr>
        <w:ind w:left="1440" w:hanging="360"/>
      </w:pPr>
      <w:rPr>
        <w:rFonts w:ascii="Courier New" w:hAnsi="Courier New" w:cs="Courier New" w:hint="default"/>
      </w:rPr>
    </w:lvl>
    <w:lvl w:ilvl="2" w:tplc="BD3C4802" w:tentative="1">
      <w:start w:val="1"/>
      <w:numFmt w:val="bullet"/>
      <w:lvlText w:val=""/>
      <w:lvlJc w:val="left"/>
      <w:pPr>
        <w:ind w:left="2160" w:hanging="360"/>
      </w:pPr>
      <w:rPr>
        <w:rFonts w:ascii="Wingdings" w:hAnsi="Wingdings" w:hint="default"/>
      </w:rPr>
    </w:lvl>
    <w:lvl w:ilvl="3" w:tplc="05DC458A" w:tentative="1">
      <w:start w:val="1"/>
      <w:numFmt w:val="bullet"/>
      <w:lvlText w:val=""/>
      <w:lvlJc w:val="left"/>
      <w:pPr>
        <w:ind w:left="2880" w:hanging="360"/>
      </w:pPr>
      <w:rPr>
        <w:rFonts w:ascii="Symbol" w:hAnsi="Symbol" w:hint="default"/>
      </w:rPr>
    </w:lvl>
    <w:lvl w:ilvl="4" w:tplc="49F0CEF4" w:tentative="1">
      <w:start w:val="1"/>
      <w:numFmt w:val="bullet"/>
      <w:lvlText w:val="o"/>
      <w:lvlJc w:val="left"/>
      <w:pPr>
        <w:ind w:left="3600" w:hanging="360"/>
      </w:pPr>
      <w:rPr>
        <w:rFonts w:ascii="Courier New" w:hAnsi="Courier New" w:cs="Courier New" w:hint="default"/>
      </w:rPr>
    </w:lvl>
    <w:lvl w:ilvl="5" w:tplc="E4FADBE8" w:tentative="1">
      <w:start w:val="1"/>
      <w:numFmt w:val="bullet"/>
      <w:lvlText w:val=""/>
      <w:lvlJc w:val="left"/>
      <w:pPr>
        <w:ind w:left="4320" w:hanging="360"/>
      </w:pPr>
      <w:rPr>
        <w:rFonts w:ascii="Wingdings" w:hAnsi="Wingdings" w:hint="default"/>
      </w:rPr>
    </w:lvl>
    <w:lvl w:ilvl="6" w:tplc="D71E46C6" w:tentative="1">
      <w:start w:val="1"/>
      <w:numFmt w:val="bullet"/>
      <w:lvlText w:val=""/>
      <w:lvlJc w:val="left"/>
      <w:pPr>
        <w:ind w:left="5040" w:hanging="360"/>
      </w:pPr>
      <w:rPr>
        <w:rFonts w:ascii="Symbol" w:hAnsi="Symbol" w:hint="default"/>
      </w:rPr>
    </w:lvl>
    <w:lvl w:ilvl="7" w:tplc="8C785652" w:tentative="1">
      <w:start w:val="1"/>
      <w:numFmt w:val="bullet"/>
      <w:lvlText w:val="o"/>
      <w:lvlJc w:val="left"/>
      <w:pPr>
        <w:ind w:left="5760" w:hanging="360"/>
      </w:pPr>
      <w:rPr>
        <w:rFonts w:ascii="Courier New" w:hAnsi="Courier New" w:cs="Courier New" w:hint="default"/>
      </w:rPr>
    </w:lvl>
    <w:lvl w:ilvl="8" w:tplc="185CF8BE" w:tentative="1">
      <w:start w:val="1"/>
      <w:numFmt w:val="bullet"/>
      <w:lvlText w:val=""/>
      <w:lvlJc w:val="left"/>
      <w:pPr>
        <w:ind w:left="6480" w:hanging="360"/>
      </w:pPr>
      <w:rPr>
        <w:rFonts w:ascii="Wingdings" w:hAnsi="Wingdings" w:hint="default"/>
      </w:rPr>
    </w:lvl>
  </w:abstractNum>
  <w:abstractNum w:abstractNumId="8" w15:restartNumberingAfterBreak="0">
    <w:nsid w:val="5F8E0623"/>
    <w:multiLevelType w:val="hybridMultilevel"/>
    <w:tmpl w:val="2E46B2A0"/>
    <w:lvl w:ilvl="0" w:tplc="49BC29EE">
      <w:start w:val="1"/>
      <w:numFmt w:val="bullet"/>
      <w:lvlText w:val=""/>
      <w:lvlJc w:val="left"/>
      <w:pPr>
        <w:ind w:left="720" w:hanging="360"/>
      </w:pPr>
      <w:rPr>
        <w:rFonts w:ascii="Symbol" w:hAnsi="Symbol" w:hint="default"/>
      </w:rPr>
    </w:lvl>
    <w:lvl w:ilvl="1" w:tplc="DA9E8D68" w:tentative="1">
      <w:start w:val="1"/>
      <w:numFmt w:val="bullet"/>
      <w:lvlText w:val="o"/>
      <w:lvlJc w:val="left"/>
      <w:pPr>
        <w:ind w:left="1440" w:hanging="360"/>
      </w:pPr>
      <w:rPr>
        <w:rFonts w:ascii="Courier New" w:hAnsi="Courier New" w:cs="Courier New" w:hint="default"/>
      </w:rPr>
    </w:lvl>
    <w:lvl w:ilvl="2" w:tplc="504CFD5C" w:tentative="1">
      <w:start w:val="1"/>
      <w:numFmt w:val="bullet"/>
      <w:lvlText w:val=""/>
      <w:lvlJc w:val="left"/>
      <w:pPr>
        <w:ind w:left="2160" w:hanging="360"/>
      </w:pPr>
      <w:rPr>
        <w:rFonts w:ascii="Wingdings" w:hAnsi="Wingdings" w:hint="default"/>
      </w:rPr>
    </w:lvl>
    <w:lvl w:ilvl="3" w:tplc="7DFCA736" w:tentative="1">
      <w:start w:val="1"/>
      <w:numFmt w:val="bullet"/>
      <w:lvlText w:val=""/>
      <w:lvlJc w:val="left"/>
      <w:pPr>
        <w:ind w:left="2880" w:hanging="360"/>
      </w:pPr>
      <w:rPr>
        <w:rFonts w:ascii="Symbol" w:hAnsi="Symbol" w:hint="default"/>
      </w:rPr>
    </w:lvl>
    <w:lvl w:ilvl="4" w:tplc="499A1892" w:tentative="1">
      <w:start w:val="1"/>
      <w:numFmt w:val="bullet"/>
      <w:lvlText w:val="o"/>
      <w:lvlJc w:val="left"/>
      <w:pPr>
        <w:ind w:left="3600" w:hanging="360"/>
      </w:pPr>
      <w:rPr>
        <w:rFonts w:ascii="Courier New" w:hAnsi="Courier New" w:cs="Courier New" w:hint="default"/>
      </w:rPr>
    </w:lvl>
    <w:lvl w:ilvl="5" w:tplc="10AE6998" w:tentative="1">
      <w:start w:val="1"/>
      <w:numFmt w:val="bullet"/>
      <w:lvlText w:val=""/>
      <w:lvlJc w:val="left"/>
      <w:pPr>
        <w:ind w:left="4320" w:hanging="360"/>
      </w:pPr>
      <w:rPr>
        <w:rFonts w:ascii="Wingdings" w:hAnsi="Wingdings" w:hint="default"/>
      </w:rPr>
    </w:lvl>
    <w:lvl w:ilvl="6" w:tplc="8698FA46" w:tentative="1">
      <w:start w:val="1"/>
      <w:numFmt w:val="bullet"/>
      <w:lvlText w:val=""/>
      <w:lvlJc w:val="left"/>
      <w:pPr>
        <w:ind w:left="5040" w:hanging="360"/>
      </w:pPr>
      <w:rPr>
        <w:rFonts w:ascii="Symbol" w:hAnsi="Symbol" w:hint="default"/>
      </w:rPr>
    </w:lvl>
    <w:lvl w:ilvl="7" w:tplc="EA2ADEAC" w:tentative="1">
      <w:start w:val="1"/>
      <w:numFmt w:val="bullet"/>
      <w:lvlText w:val="o"/>
      <w:lvlJc w:val="left"/>
      <w:pPr>
        <w:ind w:left="5760" w:hanging="360"/>
      </w:pPr>
      <w:rPr>
        <w:rFonts w:ascii="Courier New" w:hAnsi="Courier New" w:cs="Courier New" w:hint="default"/>
      </w:rPr>
    </w:lvl>
    <w:lvl w:ilvl="8" w:tplc="0D12B776" w:tentative="1">
      <w:start w:val="1"/>
      <w:numFmt w:val="bullet"/>
      <w:lvlText w:val=""/>
      <w:lvlJc w:val="left"/>
      <w:pPr>
        <w:ind w:left="6480" w:hanging="360"/>
      </w:pPr>
      <w:rPr>
        <w:rFonts w:ascii="Wingdings" w:hAnsi="Wingdings" w:hint="default"/>
      </w:rPr>
    </w:lvl>
  </w:abstractNum>
  <w:abstractNum w:abstractNumId="9" w15:restartNumberingAfterBreak="0">
    <w:nsid w:val="61F82369"/>
    <w:multiLevelType w:val="hybridMultilevel"/>
    <w:tmpl w:val="F6BAC43E"/>
    <w:lvl w:ilvl="0" w:tplc="780E353A">
      <w:start w:val="19"/>
      <w:numFmt w:val="bullet"/>
      <w:lvlText w:val="-"/>
      <w:lvlJc w:val="left"/>
      <w:pPr>
        <w:ind w:left="720" w:hanging="360"/>
      </w:pPr>
      <w:rPr>
        <w:rFonts w:ascii="Calibri" w:eastAsia="Calibri" w:hAnsi="Calibri" w:cs="Calibri" w:hint="default"/>
      </w:rPr>
    </w:lvl>
    <w:lvl w:ilvl="1" w:tplc="4AB42DCA">
      <w:start w:val="1"/>
      <w:numFmt w:val="bullet"/>
      <w:lvlText w:val="o"/>
      <w:lvlJc w:val="left"/>
      <w:pPr>
        <w:ind w:left="1440" w:hanging="360"/>
      </w:pPr>
      <w:rPr>
        <w:rFonts w:ascii="Courier New" w:hAnsi="Courier New" w:cs="Courier New" w:hint="default"/>
      </w:rPr>
    </w:lvl>
    <w:lvl w:ilvl="2" w:tplc="E3FA6D82">
      <w:start w:val="1"/>
      <w:numFmt w:val="bullet"/>
      <w:lvlText w:val=""/>
      <w:lvlJc w:val="left"/>
      <w:pPr>
        <w:ind w:left="2160" w:hanging="360"/>
      </w:pPr>
      <w:rPr>
        <w:rFonts w:ascii="Wingdings" w:hAnsi="Wingdings" w:hint="default"/>
      </w:rPr>
    </w:lvl>
    <w:lvl w:ilvl="3" w:tplc="A522AC6C">
      <w:start w:val="1"/>
      <w:numFmt w:val="bullet"/>
      <w:lvlText w:val=""/>
      <w:lvlJc w:val="left"/>
      <w:pPr>
        <w:ind w:left="2880" w:hanging="360"/>
      </w:pPr>
      <w:rPr>
        <w:rFonts w:ascii="Symbol" w:hAnsi="Symbol" w:hint="default"/>
      </w:rPr>
    </w:lvl>
    <w:lvl w:ilvl="4" w:tplc="4E1C134A">
      <w:start w:val="1"/>
      <w:numFmt w:val="bullet"/>
      <w:lvlText w:val="o"/>
      <w:lvlJc w:val="left"/>
      <w:pPr>
        <w:ind w:left="3600" w:hanging="360"/>
      </w:pPr>
      <w:rPr>
        <w:rFonts w:ascii="Courier New" w:hAnsi="Courier New" w:cs="Courier New" w:hint="default"/>
      </w:rPr>
    </w:lvl>
    <w:lvl w:ilvl="5" w:tplc="7A601ACC">
      <w:start w:val="1"/>
      <w:numFmt w:val="bullet"/>
      <w:lvlText w:val=""/>
      <w:lvlJc w:val="left"/>
      <w:pPr>
        <w:ind w:left="4320" w:hanging="360"/>
      </w:pPr>
      <w:rPr>
        <w:rFonts w:ascii="Wingdings" w:hAnsi="Wingdings" w:hint="default"/>
      </w:rPr>
    </w:lvl>
    <w:lvl w:ilvl="6" w:tplc="52B43C32">
      <w:start w:val="1"/>
      <w:numFmt w:val="bullet"/>
      <w:lvlText w:val=""/>
      <w:lvlJc w:val="left"/>
      <w:pPr>
        <w:ind w:left="5040" w:hanging="360"/>
      </w:pPr>
      <w:rPr>
        <w:rFonts w:ascii="Symbol" w:hAnsi="Symbol" w:hint="default"/>
      </w:rPr>
    </w:lvl>
    <w:lvl w:ilvl="7" w:tplc="C2C6A46C">
      <w:start w:val="1"/>
      <w:numFmt w:val="bullet"/>
      <w:lvlText w:val="o"/>
      <w:lvlJc w:val="left"/>
      <w:pPr>
        <w:ind w:left="5760" w:hanging="360"/>
      </w:pPr>
      <w:rPr>
        <w:rFonts w:ascii="Courier New" w:hAnsi="Courier New" w:cs="Courier New" w:hint="default"/>
      </w:rPr>
    </w:lvl>
    <w:lvl w:ilvl="8" w:tplc="4CAA8884">
      <w:start w:val="1"/>
      <w:numFmt w:val="bullet"/>
      <w:lvlText w:val=""/>
      <w:lvlJc w:val="left"/>
      <w:pPr>
        <w:ind w:left="6480" w:hanging="360"/>
      </w:pPr>
      <w:rPr>
        <w:rFonts w:ascii="Wingdings" w:hAnsi="Wingdings" w:hint="default"/>
      </w:rPr>
    </w:lvl>
  </w:abstractNum>
  <w:abstractNum w:abstractNumId="10" w15:restartNumberingAfterBreak="0">
    <w:nsid w:val="625367B2"/>
    <w:multiLevelType w:val="hybridMultilevel"/>
    <w:tmpl w:val="AE6CD14E"/>
    <w:lvl w:ilvl="0" w:tplc="4ADE74B8">
      <w:start w:val="1"/>
      <w:numFmt w:val="decimal"/>
      <w:lvlText w:val="%1."/>
      <w:lvlJc w:val="left"/>
      <w:pPr>
        <w:ind w:left="720" w:hanging="360"/>
      </w:pPr>
    </w:lvl>
    <w:lvl w:ilvl="1" w:tplc="307C7D7E">
      <w:start w:val="1"/>
      <w:numFmt w:val="lowerLetter"/>
      <w:lvlText w:val="%2."/>
      <w:lvlJc w:val="left"/>
      <w:pPr>
        <w:ind w:left="1440" w:hanging="360"/>
      </w:pPr>
    </w:lvl>
    <w:lvl w:ilvl="2" w:tplc="D864134A">
      <w:start w:val="1"/>
      <w:numFmt w:val="lowerRoman"/>
      <w:lvlText w:val="%3."/>
      <w:lvlJc w:val="right"/>
      <w:pPr>
        <w:ind w:left="2160" w:hanging="180"/>
      </w:pPr>
    </w:lvl>
    <w:lvl w:ilvl="3" w:tplc="6630B2E6">
      <w:start w:val="1"/>
      <w:numFmt w:val="decimal"/>
      <w:lvlText w:val="%4."/>
      <w:lvlJc w:val="left"/>
      <w:pPr>
        <w:ind w:left="2880" w:hanging="360"/>
      </w:pPr>
    </w:lvl>
    <w:lvl w:ilvl="4" w:tplc="C9B2443A">
      <w:start w:val="1"/>
      <w:numFmt w:val="lowerLetter"/>
      <w:lvlText w:val="%5."/>
      <w:lvlJc w:val="left"/>
      <w:pPr>
        <w:ind w:left="3600" w:hanging="360"/>
      </w:pPr>
    </w:lvl>
    <w:lvl w:ilvl="5" w:tplc="BC1894FE">
      <w:start w:val="1"/>
      <w:numFmt w:val="lowerRoman"/>
      <w:lvlText w:val="%6."/>
      <w:lvlJc w:val="right"/>
      <w:pPr>
        <w:ind w:left="4320" w:hanging="180"/>
      </w:pPr>
    </w:lvl>
    <w:lvl w:ilvl="6" w:tplc="7F007F6C">
      <w:start w:val="1"/>
      <w:numFmt w:val="decimal"/>
      <w:lvlText w:val="%7."/>
      <w:lvlJc w:val="left"/>
      <w:pPr>
        <w:ind w:left="5040" w:hanging="360"/>
      </w:pPr>
    </w:lvl>
    <w:lvl w:ilvl="7" w:tplc="C8FACA08">
      <w:start w:val="1"/>
      <w:numFmt w:val="lowerLetter"/>
      <w:lvlText w:val="%8."/>
      <w:lvlJc w:val="left"/>
      <w:pPr>
        <w:ind w:left="5760" w:hanging="360"/>
      </w:pPr>
    </w:lvl>
    <w:lvl w:ilvl="8" w:tplc="453A109E">
      <w:start w:val="1"/>
      <w:numFmt w:val="lowerRoman"/>
      <w:lvlText w:val="%9."/>
      <w:lvlJc w:val="right"/>
      <w:pPr>
        <w:ind w:left="6480" w:hanging="180"/>
      </w:pPr>
    </w:lvl>
  </w:abstractNum>
  <w:abstractNum w:abstractNumId="11" w15:restartNumberingAfterBreak="0">
    <w:nsid w:val="64B821BF"/>
    <w:multiLevelType w:val="hybridMultilevel"/>
    <w:tmpl w:val="AE6CD14E"/>
    <w:lvl w:ilvl="0" w:tplc="F2428F16">
      <w:start w:val="1"/>
      <w:numFmt w:val="decimal"/>
      <w:lvlText w:val="%1."/>
      <w:lvlJc w:val="left"/>
      <w:pPr>
        <w:ind w:left="720" w:hanging="360"/>
      </w:pPr>
    </w:lvl>
    <w:lvl w:ilvl="1" w:tplc="D7487CA8">
      <w:start w:val="1"/>
      <w:numFmt w:val="lowerLetter"/>
      <w:lvlText w:val="%2."/>
      <w:lvlJc w:val="left"/>
      <w:pPr>
        <w:ind w:left="1440" w:hanging="360"/>
      </w:pPr>
    </w:lvl>
    <w:lvl w:ilvl="2" w:tplc="C47C658A">
      <w:start w:val="1"/>
      <w:numFmt w:val="lowerRoman"/>
      <w:lvlText w:val="%3."/>
      <w:lvlJc w:val="right"/>
      <w:pPr>
        <w:ind w:left="2160" w:hanging="180"/>
      </w:pPr>
    </w:lvl>
    <w:lvl w:ilvl="3" w:tplc="F9C6D05A">
      <w:start w:val="1"/>
      <w:numFmt w:val="decimal"/>
      <w:lvlText w:val="%4."/>
      <w:lvlJc w:val="left"/>
      <w:pPr>
        <w:ind w:left="2880" w:hanging="360"/>
      </w:pPr>
    </w:lvl>
    <w:lvl w:ilvl="4" w:tplc="A684ACF8">
      <w:start w:val="1"/>
      <w:numFmt w:val="lowerLetter"/>
      <w:lvlText w:val="%5."/>
      <w:lvlJc w:val="left"/>
      <w:pPr>
        <w:ind w:left="3600" w:hanging="360"/>
      </w:pPr>
    </w:lvl>
    <w:lvl w:ilvl="5" w:tplc="1BC00B00">
      <w:start w:val="1"/>
      <w:numFmt w:val="lowerRoman"/>
      <w:lvlText w:val="%6."/>
      <w:lvlJc w:val="right"/>
      <w:pPr>
        <w:ind w:left="4320" w:hanging="180"/>
      </w:pPr>
    </w:lvl>
    <w:lvl w:ilvl="6" w:tplc="7DD02714">
      <w:start w:val="1"/>
      <w:numFmt w:val="decimal"/>
      <w:lvlText w:val="%7."/>
      <w:lvlJc w:val="left"/>
      <w:pPr>
        <w:ind w:left="5040" w:hanging="360"/>
      </w:pPr>
    </w:lvl>
    <w:lvl w:ilvl="7" w:tplc="6F5ECD6A">
      <w:start w:val="1"/>
      <w:numFmt w:val="lowerLetter"/>
      <w:lvlText w:val="%8."/>
      <w:lvlJc w:val="left"/>
      <w:pPr>
        <w:ind w:left="5760" w:hanging="360"/>
      </w:pPr>
    </w:lvl>
    <w:lvl w:ilvl="8" w:tplc="D7AC64B6">
      <w:start w:val="1"/>
      <w:numFmt w:val="lowerRoman"/>
      <w:lvlText w:val="%9."/>
      <w:lvlJc w:val="right"/>
      <w:pPr>
        <w:ind w:left="6480" w:hanging="180"/>
      </w:pPr>
    </w:lvl>
  </w:abstractNum>
  <w:abstractNum w:abstractNumId="12" w15:restartNumberingAfterBreak="0">
    <w:nsid w:val="7E555383"/>
    <w:multiLevelType w:val="hybridMultilevel"/>
    <w:tmpl w:val="AE6CD14E"/>
    <w:lvl w:ilvl="0" w:tplc="E07812BE">
      <w:start w:val="1"/>
      <w:numFmt w:val="decimal"/>
      <w:lvlText w:val="%1."/>
      <w:lvlJc w:val="left"/>
      <w:pPr>
        <w:ind w:left="720" w:hanging="360"/>
      </w:pPr>
    </w:lvl>
    <w:lvl w:ilvl="1" w:tplc="65840EE2">
      <w:start w:val="1"/>
      <w:numFmt w:val="lowerLetter"/>
      <w:lvlText w:val="%2."/>
      <w:lvlJc w:val="left"/>
      <w:pPr>
        <w:ind w:left="1440" w:hanging="360"/>
      </w:pPr>
    </w:lvl>
    <w:lvl w:ilvl="2" w:tplc="6B8A2006">
      <w:start w:val="1"/>
      <w:numFmt w:val="lowerRoman"/>
      <w:lvlText w:val="%3."/>
      <w:lvlJc w:val="right"/>
      <w:pPr>
        <w:ind w:left="2160" w:hanging="180"/>
      </w:pPr>
    </w:lvl>
    <w:lvl w:ilvl="3" w:tplc="D180BA3E">
      <w:start w:val="1"/>
      <w:numFmt w:val="decimal"/>
      <w:lvlText w:val="%4."/>
      <w:lvlJc w:val="left"/>
      <w:pPr>
        <w:ind w:left="2880" w:hanging="360"/>
      </w:pPr>
    </w:lvl>
    <w:lvl w:ilvl="4" w:tplc="824AC01A">
      <w:start w:val="1"/>
      <w:numFmt w:val="lowerLetter"/>
      <w:lvlText w:val="%5."/>
      <w:lvlJc w:val="left"/>
      <w:pPr>
        <w:ind w:left="3600" w:hanging="360"/>
      </w:pPr>
    </w:lvl>
    <w:lvl w:ilvl="5" w:tplc="4902432E">
      <w:start w:val="1"/>
      <w:numFmt w:val="lowerRoman"/>
      <w:lvlText w:val="%6."/>
      <w:lvlJc w:val="right"/>
      <w:pPr>
        <w:ind w:left="4320" w:hanging="180"/>
      </w:pPr>
    </w:lvl>
    <w:lvl w:ilvl="6" w:tplc="B394ADC2">
      <w:start w:val="1"/>
      <w:numFmt w:val="decimal"/>
      <w:lvlText w:val="%7."/>
      <w:lvlJc w:val="left"/>
      <w:pPr>
        <w:ind w:left="5040" w:hanging="360"/>
      </w:pPr>
    </w:lvl>
    <w:lvl w:ilvl="7" w:tplc="68E22228">
      <w:start w:val="1"/>
      <w:numFmt w:val="lowerLetter"/>
      <w:lvlText w:val="%8."/>
      <w:lvlJc w:val="left"/>
      <w:pPr>
        <w:ind w:left="5760" w:hanging="360"/>
      </w:pPr>
    </w:lvl>
    <w:lvl w:ilvl="8" w:tplc="D222F13A">
      <w:start w:val="1"/>
      <w:numFmt w:val="lowerRoman"/>
      <w:lvlText w:val="%9."/>
      <w:lvlJc w:val="right"/>
      <w:pPr>
        <w:ind w:left="6480" w:hanging="180"/>
      </w:pPr>
    </w:lvl>
  </w:abstractNum>
  <w:num w:numId="1" w16cid:durableId="921597916">
    <w:abstractNumId w:val="7"/>
  </w:num>
  <w:num w:numId="2" w16cid:durableId="2057384616">
    <w:abstractNumId w:val="5"/>
  </w:num>
  <w:num w:numId="3" w16cid:durableId="558980417">
    <w:abstractNumId w:val="8"/>
  </w:num>
  <w:num w:numId="4" w16cid:durableId="909778462">
    <w:abstractNumId w:val="1"/>
  </w:num>
  <w:num w:numId="5" w16cid:durableId="455293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17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661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034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309200">
    <w:abstractNumId w:val="4"/>
  </w:num>
  <w:num w:numId="10" w16cid:durableId="1731030294">
    <w:abstractNumId w:val="0"/>
  </w:num>
  <w:num w:numId="11" w16cid:durableId="370375362">
    <w:abstractNumId w:val="3"/>
  </w:num>
  <w:num w:numId="12" w16cid:durableId="833687002">
    <w:abstractNumId w:val="2"/>
  </w:num>
  <w:num w:numId="13" w16cid:durableId="928805469">
    <w:abstractNumId w:val="9"/>
  </w:num>
  <w:num w:numId="14" w16cid:durableId="310444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AyNDY1tDA3MzNT0lEKTi0uzszPAykwrAUANJzT3SwAAAA="/>
  </w:docVars>
  <w:rsids>
    <w:rsidRoot w:val="00A9707D"/>
    <w:rsid w:val="00007199"/>
    <w:rsid w:val="00011123"/>
    <w:rsid w:val="00016F8C"/>
    <w:rsid w:val="000229DC"/>
    <w:rsid w:val="00024932"/>
    <w:rsid w:val="00024F8C"/>
    <w:rsid w:val="00030322"/>
    <w:rsid w:val="0003361C"/>
    <w:rsid w:val="00036013"/>
    <w:rsid w:val="00037FA3"/>
    <w:rsid w:val="00045127"/>
    <w:rsid w:val="00047A30"/>
    <w:rsid w:val="00056941"/>
    <w:rsid w:val="000600EC"/>
    <w:rsid w:val="00064421"/>
    <w:rsid w:val="00064B63"/>
    <w:rsid w:val="00073176"/>
    <w:rsid w:val="00076B7D"/>
    <w:rsid w:val="00083332"/>
    <w:rsid w:val="00083A22"/>
    <w:rsid w:val="000852B4"/>
    <w:rsid w:val="00095FCF"/>
    <w:rsid w:val="000978B8"/>
    <w:rsid w:val="000A542D"/>
    <w:rsid w:val="000B13EB"/>
    <w:rsid w:val="000B28E7"/>
    <w:rsid w:val="000C0082"/>
    <w:rsid w:val="000D2F28"/>
    <w:rsid w:val="000D341A"/>
    <w:rsid w:val="000D4D66"/>
    <w:rsid w:val="000E173B"/>
    <w:rsid w:val="000E3EC9"/>
    <w:rsid w:val="000E513F"/>
    <w:rsid w:val="000E526C"/>
    <w:rsid w:val="000E52BF"/>
    <w:rsid w:val="000F0FDC"/>
    <w:rsid w:val="000F5BEE"/>
    <w:rsid w:val="001045FD"/>
    <w:rsid w:val="001078C4"/>
    <w:rsid w:val="00120DFD"/>
    <w:rsid w:val="00131CA3"/>
    <w:rsid w:val="001346FE"/>
    <w:rsid w:val="00140E0A"/>
    <w:rsid w:val="00144797"/>
    <w:rsid w:val="001519BE"/>
    <w:rsid w:val="00161E9C"/>
    <w:rsid w:val="001704A1"/>
    <w:rsid w:val="00171104"/>
    <w:rsid w:val="00177CB0"/>
    <w:rsid w:val="00192D10"/>
    <w:rsid w:val="00193D32"/>
    <w:rsid w:val="00194618"/>
    <w:rsid w:val="001A0575"/>
    <w:rsid w:val="001A511A"/>
    <w:rsid w:val="001B0002"/>
    <w:rsid w:val="001B54C7"/>
    <w:rsid w:val="001B5E4E"/>
    <w:rsid w:val="001C57CD"/>
    <w:rsid w:val="001C73CF"/>
    <w:rsid w:val="001C79CC"/>
    <w:rsid w:val="001E24E3"/>
    <w:rsid w:val="001E57DD"/>
    <w:rsid w:val="001F0A13"/>
    <w:rsid w:val="001F3007"/>
    <w:rsid w:val="001F7D7A"/>
    <w:rsid w:val="00201D5E"/>
    <w:rsid w:val="00206799"/>
    <w:rsid w:val="00207821"/>
    <w:rsid w:val="002209E5"/>
    <w:rsid w:val="00226F5A"/>
    <w:rsid w:val="002422DC"/>
    <w:rsid w:val="00244C15"/>
    <w:rsid w:val="00247975"/>
    <w:rsid w:val="00252372"/>
    <w:rsid w:val="00252BB8"/>
    <w:rsid w:val="00254D6F"/>
    <w:rsid w:val="0025530B"/>
    <w:rsid w:val="00260198"/>
    <w:rsid w:val="00262BA0"/>
    <w:rsid w:val="00266A9E"/>
    <w:rsid w:val="002674DC"/>
    <w:rsid w:val="00267AD2"/>
    <w:rsid w:val="002751E0"/>
    <w:rsid w:val="00275634"/>
    <w:rsid w:val="00280847"/>
    <w:rsid w:val="00282A85"/>
    <w:rsid w:val="0028319D"/>
    <w:rsid w:val="002838D9"/>
    <w:rsid w:val="00285CF9"/>
    <w:rsid w:val="00293D28"/>
    <w:rsid w:val="00294495"/>
    <w:rsid w:val="00295655"/>
    <w:rsid w:val="002A261E"/>
    <w:rsid w:val="002B1101"/>
    <w:rsid w:val="002B4D8F"/>
    <w:rsid w:val="002C64B4"/>
    <w:rsid w:val="002C7021"/>
    <w:rsid w:val="002C7033"/>
    <w:rsid w:val="002C7BCA"/>
    <w:rsid w:val="002D0D8A"/>
    <w:rsid w:val="002E1BB9"/>
    <w:rsid w:val="002E3D27"/>
    <w:rsid w:val="002E5AF9"/>
    <w:rsid w:val="002ED616"/>
    <w:rsid w:val="002F4155"/>
    <w:rsid w:val="00301975"/>
    <w:rsid w:val="00301D40"/>
    <w:rsid w:val="003033AF"/>
    <w:rsid w:val="00303571"/>
    <w:rsid w:val="0030763F"/>
    <w:rsid w:val="00311B5D"/>
    <w:rsid w:val="00313FE7"/>
    <w:rsid w:val="0031E37A"/>
    <w:rsid w:val="00324FE5"/>
    <w:rsid w:val="00330A0E"/>
    <w:rsid w:val="00334DAA"/>
    <w:rsid w:val="00336BC6"/>
    <w:rsid w:val="00340911"/>
    <w:rsid w:val="0034641C"/>
    <w:rsid w:val="003509E7"/>
    <w:rsid w:val="0035369D"/>
    <w:rsid w:val="00360ED6"/>
    <w:rsid w:val="00364ACC"/>
    <w:rsid w:val="00366367"/>
    <w:rsid w:val="003762E9"/>
    <w:rsid w:val="00382FF5"/>
    <w:rsid w:val="00383844"/>
    <w:rsid w:val="00385EC2"/>
    <w:rsid w:val="00387270"/>
    <w:rsid w:val="00395631"/>
    <w:rsid w:val="003A796B"/>
    <w:rsid w:val="003B0B9B"/>
    <w:rsid w:val="003B4492"/>
    <w:rsid w:val="003B44F1"/>
    <w:rsid w:val="003C6BB7"/>
    <w:rsid w:val="003F3C34"/>
    <w:rsid w:val="0040123C"/>
    <w:rsid w:val="004113B2"/>
    <w:rsid w:val="004120B7"/>
    <w:rsid w:val="00412E8D"/>
    <w:rsid w:val="00413AA5"/>
    <w:rsid w:val="004162C0"/>
    <w:rsid w:val="004224BA"/>
    <w:rsid w:val="00424070"/>
    <w:rsid w:val="00424CAD"/>
    <w:rsid w:val="004319B8"/>
    <w:rsid w:val="0044510D"/>
    <w:rsid w:val="00446851"/>
    <w:rsid w:val="00450610"/>
    <w:rsid w:val="00457E26"/>
    <w:rsid w:val="00462A07"/>
    <w:rsid w:val="00477259"/>
    <w:rsid w:val="00480C44"/>
    <w:rsid w:val="00481310"/>
    <w:rsid w:val="004814B1"/>
    <w:rsid w:val="004821E3"/>
    <w:rsid w:val="00485562"/>
    <w:rsid w:val="00486080"/>
    <w:rsid w:val="00490E9C"/>
    <w:rsid w:val="00491C90"/>
    <w:rsid w:val="00491E6E"/>
    <w:rsid w:val="0049291C"/>
    <w:rsid w:val="00497432"/>
    <w:rsid w:val="004A3E0F"/>
    <w:rsid w:val="004A4C0D"/>
    <w:rsid w:val="004A7CB8"/>
    <w:rsid w:val="004B5606"/>
    <w:rsid w:val="004B77DE"/>
    <w:rsid w:val="004C4C0A"/>
    <w:rsid w:val="004E27E2"/>
    <w:rsid w:val="004E3B3A"/>
    <w:rsid w:val="004E4608"/>
    <w:rsid w:val="004F5891"/>
    <w:rsid w:val="005041C7"/>
    <w:rsid w:val="0050793C"/>
    <w:rsid w:val="005127F2"/>
    <w:rsid w:val="00512BD9"/>
    <w:rsid w:val="00514AB1"/>
    <w:rsid w:val="005153BC"/>
    <w:rsid w:val="00515DD3"/>
    <w:rsid w:val="005175BE"/>
    <w:rsid w:val="005207FD"/>
    <w:rsid w:val="00521BCC"/>
    <w:rsid w:val="00521CAB"/>
    <w:rsid w:val="00522065"/>
    <w:rsid w:val="00526964"/>
    <w:rsid w:val="005317C5"/>
    <w:rsid w:val="00545FCD"/>
    <w:rsid w:val="005469B0"/>
    <w:rsid w:val="0054772F"/>
    <w:rsid w:val="00550F4B"/>
    <w:rsid w:val="00552462"/>
    <w:rsid w:val="00553A6F"/>
    <w:rsid w:val="00554FEE"/>
    <w:rsid w:val="005668D7"/>
    <w:rsid w:val="00574ED7"/>
    <w:rsid w:val="00576FD6"/>
    <w:rsid w:val="0058468A"/>
    <w:rsid w:val="00584E27"/>
    <w:rsid w:val="00590452"/>
    <w:rsid w:val="005A193C"/>
    <w:rsid w:val="005B3B0D"/>
    <w:rsid w:val="005B4870"/>
    <w:rsid w:val="005B4B8E"/>
    <w:rsid w:val="005B5BCC"/>
    <w:rsid w:val="005C1520"/>
    <w:rsid w:val="005C1891"/>
    <w:rsid w:val="005C22BE"/>
    <w:rsid w:val="005C281D"/>
    <w:rsid w:val="005C3435"/>
    <w:rsid w:val="005C57C9"/>
    <w:rsid w:val="005D4735"/>
    <w:rsid w:val="005E4865"/>
    <w:rsid w:val="005E91C4"/>
    <w:rsid w:val="005F7F99"/>
    <w:rsid w:val="00601627"/>
    <w:rsid w:val="00601D80"/>
    <w:rsid w:val="00601D8C"/>
    <w:rsid w:val="00610107"/>
    <w:rsid w:val="00612C44"/>
    <w:rsid w:val="00614778"/>
    <w:rsid w:val="00616375"/>
    <w:rsid w:val="00630B79"/>
    <w:rsid w:val="0063267C"/>
    <w:rsid w:val="006330EB"/>
    <w:rsid w:val="00633141"/>
    <w:rsid w:val="00651745"/>
    <w:rsid w:val="00661ABD"/>
    <w:rsid w:val="0066777A"/>
    <w:rsid w:val="00670C77"/>
    <w:rsid w:val="006725EE"/>
    <w:rsid w:val="006738F2"/>
    <w:rsid w:val="006810E4"/>
    <w:rsid w:val="00681C87"/>
    <w:rsid w:val="006854ED"/>
    <w:rsid w:val="00685808"/>
    <w:rsid w:val="0068B457"/>
    <w:rsid w:val="00690849"/>
    <w:rsid w:val="00690DBA"/>
    <w:rsid w:val="00694265"/>
    <w:rsid w:val="00696D05"/>
    <w:rsid w:val="006A0984"/>
    <w:rsid w:val="006A0EEA"/>
    <w:rsid w:val="006B152B"/>
    <w:rsid w:val="006B490D"/>
    <w:rsid w:val="006B6036"/>
    <w:rsid w:val="006C1E05"/>
    <w:rsid w:val="006C2970"/>
    <w:rsid w:val="006C3991"/>
    <w:rsid w:val="006C6044"/>
    <w:rsid w:val="006D63A5"/>
    <w:rsid w:val="006F142F"/>
    <w:rsid w:val="006F1C7F"/>
    <w:rsid w:val="006F3592"/>
    <w:rsid w:val="006F397C"/>
    <w:rsid w:val="0070007F"/>
    <w:rsid w:val="007001C2"/>
    <w:rsid w:val="0070118A"/>
    <w:rsid w:val="00703436"/>
    <w:rsid w:val="00704CD1"/>
    <w:rsid w:val="00711B4B"/>
    <w:rsid w:val="00716A5B"/>
    <w:rsid w:val="00720072"/>
    <w:rsid w:val="00722C2A"/>
    <w:rsid w:val="0072349F"/>
    <w:rsid w:val="00723C6E"/>
    <w:rsid w:val="00727E87"/>
    <w:rsid w:val="007363FB"/>
    <w:rsid w:val="00736F66"/>
    <w:rsid w:val="00740BDE"/>
    <w:rsid w:val="00742D8F"/>
    <w:rsid w:val="00746CEA"/>
    <w:rsid w:val="00753C63"/>
    <w:rsid w:val="00753D60"/>
    <w:rsid w:val="0076423C"/>
    <w:rsid w:val="007678F4"/>
    <w:rsid w:val="007763E8"/>
    <w:rsid w:val="00784715"/>
    <w:rsid w:val="007871E2"/>
    <w:rsid w:val="00793423"/>
    <w:rsid w:val="00797AAD"/>
    <w:rsid w:val="007A29ED"/>
    <w:rsid w:val="007A3613"/>
    <w:rsid w:val="007A3C6C"/>
    <w:rsid w:val="007A4FA0"/>
    <w:rsid w:val="007A6937"/>
    <w:rsid w:val="007A6E57"/>
    <w:rsid w:val="007A7D89"/>
    <w:rsid w:val="007B403B"/>
    <w:rsid w:val="007C1420"/>
    <w:rsid w:val="007C1AB6"/>
    <w:rsid w:val="007C1FDD"/>
    <w:rsid w:val="007D6DE1"/>
    <w:rsid w:val="007DC201"/>
    <w:rsid w:val="007E236C"/>
    <w:rsid w:val="007E352A"/>
    <w:rsid w:val="007E3C72"/>
    <w:rsid w:val="007E75FD"/>
    <w:rsid w:val="007F0F34"/>
    <w:rsid w:val="007F3C69"/>
    <w:rsid w:val="007F4E2C"/>
    <w:rsid w:val="007F53DE"/>
    <w:rsid w:val="007F6C10"/>
    <w:rsid w:val="00804558"/>
    <w:rsid w:val="00805C6A"/>
    <w:rsid w:val="00806D91"/>
    <w:rsid w:val="008141D0"/>
    <w:rsid w:val="0081551A"/>
    <w:rsid w:val="00825E78"/>
    <w:rsid w:val="0082751C"/>
    <w:rsid w:val="00832B51"/>
    <w:rsid w:val="008354EE"/>
    <w:rsid w:val="00837C64"/>
    <w:rsid w:val="008542D3"/>
    <w:rsid w:val="00854777"/>
    <w:rsid w:val="00856A53"/>
    <w:rsid w:val="00857148"/>
    <w:rsid w:val="008621C5"/>
    <w:rsid w:val="00866C8B"/>
    <w:rsid w:val="0088099A"/>
    <w:rsid w:val="00881E8C"/>
    <w:rsid w:val="008903B4"/>
    <w:rsid w:val="00895D5A"/>
    <w:rsid w:val="0089773C"/>
    <w:rsid w:val="008A1AFE"/>
    <w:rsid w:val="008A29D4"/>
    <w:rsid w:val="008A3BA5"/>
    <w:rsid w:val="008A6EF1"/>
    <w:rsid w:val="008B3425"/>
    <w:rsid w:val="008B3E75"/>
    <w:rsid w:val="008B74A5"/>
    <w:rsid w:val="008D21E0"/>
    <w:rsid w:val="008E1106"/>
    <w:rsid w:val="008E49E7"/>
    <w:rsid w:val="008F1D24"/>
    <w:rsid w:val="008F1D8F"/>
    <w:rsid w:val="008F4915"/>
    <w:rsid w:val="008F4E12"/>
    <w:rsid w:val="009017B8"/>
    <w:rsid w:val="00901939"/>
    <w:rsid w:val="00907E35"/>
    <w:rsid w:val="00920933"/>
    <w:rsid w:val="009210BF"/>
    <w:rsid w:val="00927C74"/>
    <w:rsid w:val="00930F18"/>
    <w:rsid w:val="0093155E"/>
    <w:rsid w:val="00934361"/>
    <w:rsid w:val="00934556"/>
    <w:rsid w:val="00936048"/>
    <w:rsid w:val="009373C4"/>
    <w:rsid w:val="0094537E"/>
    <w:rsid w:val="00946A57"/>
    <w:rsid w:val="0095013A"/>
    <w:rsid w:val="00953540"/>
    <w:rsid w:val="0097249B"/>
    <w:rsid w:val="0097392E"/>
    <w:rsid w:val="00973F68"/>
    <w:rsid w:val="00977C5D"/>
    <w:rsid w:val="0098206A"/>
    <w:rsid w:val="0098649E"/>
    <w:rsid w:val="00990231"/>
    <w:rsid w:val="00994CA7"/>
    <w:rsid w:val="009958A1"/>
    <w:rsid w:val="009A362D"/>
    <w:rsid w:val="009A3A68"/>
    <w:rsid w:val="009B0BD1"/>
    <w:rsid w:val="009B169F"/>
    <w:rsid w:val="009C04BB"/>
    <w:rsid w:val="009C334D"/>
    <w:rsid w:val="009C6411"/>
    <w:rsid w:val="009C6ACA"/>
    <w:rsid w:val="009C6C67"/>
    <w:rsid w:val="009D1ED5"/>
    <w:rsid w:val="009D4630"/>
    <w:rsid w:val="009D4A63"/>
    <w:rsid w:val="009D781A"/>
    <w:rsid w:val="009E1E17"/>
    <w:rsid w:val="009E244F"/>
    <w:rsid w:val="009F2423"/>
    <w:rsid w:val="009F60BA"/>
    <w:rsid w:val="00A009D6"/>
    <w:rsid w:val="00A02B6E"/>
    <w:rsid w:val="00A12B06"/>
    <w:rsid w:val="00A15C2E"/>
    <w:rsid w:val="00A26BF0"/>
    <w:rsid w:val="00A27211"/>
    <w:rsid w:val="00A30729"/>
    <w:rsid w:val="00A30799"/>
    <w:rsid w:val="00A31B6A"/>
    <w:rsid w:val="00A31DBA"/>
    <w:rsid w:val="00A328BA"/>
    <w:rsid w:val="00A37061"/>
    <w:rsid w:val="00A377C5"/>
    <w:rsid w:val="00A37D4D"/>
    <w:rsid w:val="00A44446"/>
    <w:rsid w:val="00A46DBB"/>
    <w:rsid w:val="00A4782D"/>
    <w:rsid w:val="00A50C10"/>
    <w:rsid w:val="00A5269C"/>
    <w:rsid w:val="00A52ACF"/>
    <w:rsid w:val="00A5320F"/>
    <w:rsid w:val="00A53699"/>
    <w:rsid w:val="00A54714"/>
    <w:rsid w:val="00A55E98"/>
    <w:rsid w:val="00A67E84"/>
    <w:rsid w:val="00A67F88"/>
    <w:rsid w:val="00A70237"/>
    <w:rsid w:val="00A71B8E"/>
    <w:rsid w:val="00A75315"/>
    <w:rsid w:val="00A90A3A"/>
    <w:rsid w:val="00A90CB1"/>
    <w:rsid w:val="00A9707D"/>
    <w:rsid w:val="00AA247D"/>
    <w:rsid w:val="00AA6128"/>
    <w:rsid w:val="00AB40C9"/>
    <w:rsid w:val="00AB5429"/>
    <w:rsid w:val="00AB5CFE"/>
    <w:rsid w:val="00AC3FA0"/>
    <w:rsid w:val="00AC4EAD"/>
    <w:rsid w:val="00AD6E51"/>
    <w:rsid w:val="00AE14C3"/>
    <w:rsid w:val="00AE3CDD"/>
    <w:rsid w:val="00AE4F5F"/>
    <w:rsid w:val="00AF3022"/>
    <w:rsid w:val="00AF5205"/>
    <w:rsid w:val="00AF6207"/>
    <w:rsid w:val="00B049FB"/>
    <w:rsid w:val="00B13513"/>
    <w:rsid w:val="00B20AEE"/>
    <w:rsid w:val="00B321F5"/>
    <w:rsid w:val="00B352BB"/>
    <w:rsid w:val="00B4250D"/>
    <w:rsid w:val="00B43F92"/>
    <w:rsid w:val="00B443B8"/>
    <w:rsid w:val="00B45156"/>
    <w:rsid w:val="00B45298"/>
    <w:rsid w:val="00B45A14"/>
    <w:rsid w:val="00B52410"/>
    <w:rsid w:val="00B57E06"/>
    <w:rsid w:val="00B627CE"/>
    <w:rsid w:val="00B654E0"/>
    <w:rsid w:val="00B66503"/>
    <w:rsid w:val="00B67D4B"/>
    <w:rsid w:val="00B703FD"/>
    <w:rsid w:val="00B705C4"/>
    <w:rsid w:val="00B72576"/>
    <w:rsid w:val="00B8412A"/>
    <w:rsid w:val="00B90463"/>
    <w:rsid w:val="00B91D54"/>
    <w:rsid w:val="00BA3ACA"/>
    <w:rsid w:val="00BA496A"/>
    <w:rsid w:val="00BB0E9C"/>
    <w:rsid w:val="00BB71B3"/>
    <w:rsid w:val="00BC0006"/>
    <w:rsid w:val="00BC1ACF"/>
    <w:rsid w:val="00BC4CF9"/>
    <w:rsid w:val="00BD2A55"/>
    <w:rsid w:val="00BD3D8E"/>
    <w:rsid w:val="00BE1A09"/>
    <w:rsid w:val="00BE569E"/>
    <w:rsid w:val="00BE6292"/>
    <w:rsid w:val="00BE7B6E"/>
    <w:rsid w:val="00BF0717"/>
    <w:rsid w:val="00BF76BE"/>
    <w:rsid w:val="00C036D8"/>
    <w:rsid w:val="00C03912"/>
    <w:rsid w:val="00C07B16"/>
    <w:rsid w:val="00C104A3"/>
    <w:rsid w:val="00C15AA5"/>
    <w:rsid w:val="00C179A5"/>
    <w:rsid w:val="00C25C90"/>
    <w:rsid w:val="00C35AFB"/>
    <w:rsid w:val="00C43ACF"/>
    <w:rsid w:val="00C44A81"/>
    <w:rsid w:val="00C463A2"/>
    <w:rsid w:val="00C465B8"/>
    <w:rsid w:val="00C54F90"/>
    <w:rsid w:val="00C576F3"/>
    <w:rsid w:val="00C63036"/>
    <w:rsid w:val="00C64AEB"/>
    <w:rsid w:val="00C65B5C"/>
    <w:rsid w:val="00C729DF"/>
    <w:rsid w:val="00C77850"/>
    <w:rsid w:val="00C8048B"/>
    <w:rsid w:val="00C82832"/>
    <w:rsid w:val="00C83135"/>
    <w:rsid w:val="00C83ACF"/>
    <w:rsid w:val="00C84A05"/>
    <w:rsid w:val="00C86B4E"/>
    <w:rsid w:val="00C9225B"/>
    <w:rsid w:val="00C93E39"/>
    <w:rsid w:val="00CA0C88"/>
    <w:rsid w:val="00CA185A"/>
    <w:rsid w:val="00CA2436"/>
    <w:rsid w:val="00CB2C62"/>
    <w:rsid w:val="00CB498B"/>
    <w:rsid w:val="00CB4D20"/>
    <w:rsid w:val="00CB5B5A"/>
    <w:rsid w:val="00CB75B5"/>
    <w:rsid w:val="00CB7967"/>
    <w:rsid w:val="00CC4710"/>
    <w:rsid w:val="00CD06E2"/>
    <w:rsid w:val="00CD30E6"/>
    <w:rsid w:val="00CE21A1"/>
    <w:rsid w:val="00CE3EA5"/>
    <w:rsid w:val="00CE7352"/>
    <w:rsid w:val="00CF12FE"/>
    <w:rsid w:val="00CF2A18"/>
    <w:rsid w:val="00CF3E72"/>
    <w:rsid w:val="00D00C48"/>
    <w:rsid w:val="00D02039"/>
    <w:rsid w:val="00D04C92"/>
    <w:rsid w:val="00D15FA3"/>
    <w:rsid w:val="00D203E5"/>
    <w:rsid w:val="00D3006F"/>
    <w:rsid w:val="00D3096F"/>
    <w:rsid w:val="00D30C5C"/>
    <w:rsid w:val="00D37D4B"/>
    <w:rsid w:val="00D40741"/>
    <w:rsid w:val="00D43EBE"/>
    <w:rsid w:val="00D45333"/>
    <w:rsid w:val="00D45661"/>
    <w:rsid w:val="00D6693C"/>
    <w:rsid w:val="00D66CF5"/>
    <w:rsid w:val="00D66E32"/>
    <w:rsid w:val="00D67A82"/>
    <w:rsid w:val="00D71EF8"/>
    <w:rsid w:val="00D726FC"/>
    <w:rsid w:val="00D76255"/>
    <w:rsid w:val="00D76E03"/>
    <w:rsid w:val="00D80139"/>
    <w:rsid w:val="00D80D17"/>
    <w:rsid w:val="00D8736C"/>
    <w:rsid w:val="00D910D7"/>
    <w:rsid w:val="00DA66B1"/>
    <w:rsid w:val="00DB1F29"/>
    <w:rsid w:val="00DB42F6"/>
    <w:rsid w:val="00DB4754"/>
    <w:rsid w:val="00DC0226"/>
    <w:rsid w:val="00DC08A6"/>
    <w:rsid w:val="00DC4AB9"/>
    <w:rsid w:val="00DD0057"/>
    <w:rsid w:val="00DD3D68"/>
    <w:rsid w:val="00DD43CB"/>
    <w:rsid w:val="00DE700B"/>
    <w:rsid w:val="00DF4127"/>
    <w:rsid w:val="00DF492B"/>
    <w:rsid w:val="00E007D8"/>
    <w:rsid w:val="00E0195D"/>
    <w:rsid w:val="00E01C37"/>
    <w:rsid w:val="00E02087"/>
    <w:rsid w:val="00E11D59"/>
    <w:rsid w:val="00E14C17"/>
    <w:rsid w:val="00E1641D"/>
    <w:rsid w:val="00E21FEA"/>
    <w:rsid w:val="00E2514D"/>
    <w:rsid w:val="00E30B47"/>
    <w:rsid w:val="00E30CD4"/>
    <w:rsid w:val="00E30FE6"/>
    <w:rsid w:val="00E36B2D"/>
    <w:rsid w:val="00E42F12"/>
    <w:rsid w:val="00E4506D"/>
    <w:rsid w:val="00E5338E"/>
    <w:rsid w:val="00E53AB4"/>
    <w:rsid w:val="00E53CA1"/>
    <w:rsid w:val="00E60CFB"/>
    <w:rsid w:val="00E67E46"/>
    <w:rsid w:val="00E72C5B"/>
    <w:rsid w:val="00E74A1F"/>
    <w:rsid w:val="00E8031D"/>
    <w:rsid w:val="00E80DF9"/>
    <w:rsid w:val="00E95FCE"/>
    <w:rsid w:val="00E971BB"/>
    <w:rsid w:val="00EA4B01"/>
    <w:rsid w:val="00EA5F2E"/>
    <w:rsid w:val="00EA74A5"/>
    <w:rsid w:val="00EB2C66"/>
    <w:rsid w:val="00EB3A75"/>
    <w:rsid w:val="00EC298E"/>
    <w:rsid w:val="00ED1394"/>
    <w:rsid w:val="00ED2D07"/>
    <w:rsid w:val="00ED366C"/>
    <w:rsid w:val="00ED6BFF"/>
    <w:rsid w:val="00EE1414"/>
    <w:rsid w:val="00F00F82"/>
    <w:rsid w:val="00F05226"/>
    <w:rsid w:val="00F07545"/>
    <w:rsid w:val="00F121C0"/>
    <w:rsid w:val="00F22947"/>
    <w:rsid w:val="00F25B5F"/>
    <w:rsid w:val="00F31E94"/>
    <w:rsid w:val="00F40950"/>
    <w:rsid w:val="00F413B0"/>
    <w:rsid w:val="00F51DB7"/>
    <w:rsid w:val="00F52687"/>
    <w:rsid w:val="00F60134"/>
    <w:rsid w:val="00F66895"/>
    <w:rsid w:val="00F747E4"/>
    <w:rsid w:val="00F81642"/>
    <w:rsid w:val="00F858C8"/>
    <w:rsid w:val="00F91699"/>
    <w:rsid w:val="00F91C4E"/>
    <w:rsid w:val="00F97DB8"/>
    <w:rsid w:val="00FA1984"/>
    <w:rsid w:val="00FA430B"/>
    <w:rsid w:val="00FA7547"/>
    <w:rsid w:val="00FB06BA"/>
    <w:rsid w:val="00FB1853"/>
    <w:rsid w:val="00FB548F"/>
    <w:rsid w:val="00FC5953"/>
    <w:rsid w:val="00FC6E1E"/>
    <w:rsid w:val="00FD197D"/>
    <w:rsid w:val="00FD31DE"/>
    <w:rsid w:val="00FD7B16"/>
    <w:rsid w:val="00FE13BC"/>
    <w:rsid w:val="00FE3BA8"/>
    <w:rsid w:val="00FE4FE9"/>
    <w:rsid w:val="00FE5ACB"/>
    <w:rsid w:val="00FF44B3"/>
    <w:rsid w:val="00FF77CD"/>
    <w:rsid w:val="0100B531"/>
    <w:rsid w:val="01082C4E"/>
    <w:rsid w:val="0118B830"/>
    <w:rsid w:val="0119C134"/>
    <w:rsid w:val="0132B74E"/>
    <w:rsid w:val="01374A47"/>
    <w:rsid w:val="01430BA3"/>
    <w:rsid w:val="01642427"/>
    <w:rsid w:val="0168570E"/>
    <w:rsid w:val="018D1A68"/>
    <w:rsid w:val="018E7B72"/>
    <w:rsid w:val="018F8CE6"/>
    <w:rsid w:val="019FC511"/>
    <w:rsid w:val="01AAC814"/>
    <w:rsid w:val="01CE3192"/>
    <w:rsid w:val="01E0B7E0"/>
    <w:rsid w:val="0203A889"/>
    <w:rsid w:val="021FB6EE"/>
    <w:rsid w:val="022BEF28"/>
    <w:rsid w:val="02826F11"/>
    <w:rsid w:val="02927D0B"/>
    <w:rsid w:val="02A38A97"/>
    <w:rsid w:val="02B8EB94"/>
    <w:rsid w:val="02BA1AD2"/>
    <w:rsid w:val="02C4B11B"/>
    <w:rsid w:val="02CBCC4D"/>
    <w:rsid w:val="02D3E79E"/>
    <w:rsid w:val="03453E8E"/>
    <w:rsid w:val="034FE45A"/>
    <w:rsid w:val="034FEEAD"/>
    <w:rsid w:val="035EC35B"/>
    <w:rsid w:val="0365C9F2"/>
    <w:rsid w:val="036CCDBE"/>
    <w:rsid w:val="03883FA0"/>
    <w:rsid w:val="03ADF79F"/>
    <w:rsid w:val="03AF0F32"/>
    <w:rsid w:val="03B6AFF6"/>
    <w:rsid w:val="03BD6FEE"/>
    <w:rsid w:val="03C8712B"/>
    <w:rsid w:val="03DD6243"/>
    <w:rsid w:val="03E9E124"/>
    <w:rsid w:val="041E8CAB"/>
    <w:rsid w:val="043AFD11"/>
    <w:rsid w:val="0477E5C1"/>
    <w:rsid w:val="0496ADF5"/>
    <w:rsid w:val="049A891F"/>
    <w:rsid w:val="049D3CD3"/>
    <w:rsid w:val="04B3D885"/>
    <w:rsid w:val="04B9490D"/>
    <w:rsid w:val="04BE3D76"/>
    <w:rsid w:val="04C3D139"/>
    <w:rsid w:val="04CC13B6"/>
    <w:rsid w:val="04D8EBE6"/>
    <w:rsid w:val="04E8C87D"/>
    <w:rsid w:val="04F1A2A6"/>
    <w:rsid w:val="04F820ED"/>
    <w:rsid w:val="04FED68E"/>
    <w:rsid w:val="054992FA"/>
    <w:rsid w:val="057346C3"/>
    <w:rsid w:val="05777235"/>
    <w:rsid w:val="059FB3EB"/>
    <w:rsid w:val="05ADE7B4"/>
    <w:rsid w:val="05C16C10"/>
    <w:rsid w:val="05D60DC0"/>
    <w:rsid w:val="05F08C56"/>
    <w:rsid w:val="0613B622"/>
    <w:rsid w:val="06167CC6"/>
    <w:rsid w:val="062127E0"/>
    <w:rsid w:val="064CAD72"/>
    <w:rsid w:val="064F787C"/>
    <w:rsid w:val="06716D33"/>
    <w:rsid w:val="0673CD2D"/>
    <w:rsid w:val="067D3668"/>
    <w:rsid w:val="068010DD"/>
    <w:rsid w:val="0687D4ED"/>
    <w:rsid w:val="06B38399"/>
    <w:rsid w:val="06B655A8"/>
    <w:rsid w:val="06E10F52"/>
    <w:rsid w:val="06F132AE"/>
    <w:rsid w:val="071381A1"/>
    <w:rsid w:val="073E43D2"/>
    <w:rsid w:val="077B1ABE"/>
    <w:rsid w:val="0796A8BB"/>
    <w:rsid w:val="07AF8683"/>
    <w:rsid w:val="07BF2469"/>
    <w:rsid w:val="07D0C28B"/>
    <w:rsid w:val="07F1D950"/>
    <w:rsid w:val="08074AAE"/>
    <w:rsid w:val="082D5655"/>
    <w:rsid w:val="085BB0C3"/>
    <w:rsid w:val="087C3F7F"/>
    <w:rsid w:val="08844C72"/>
    <w:rsid w:val="088A2119"/>
    <w:rsid w:val="08B8B284"/>
    <w:rsid w:val="08C4B820"/>
    <w:rsid w:val="08CA1FD4"/>
    <w:rsid w:val="08F01BDD"/>
    <w:rsid w:val="09171819"/>
    <w:rsid w:val="092513CF"/>
    <w:rsid w:val="092A02CA"/>
    <w:rsid w:val="09302FCE"/>
    <w:rsid w:val="093FCC4A"/>
    <w:rsid w:val="094B56E4"/>
    <w:rsid w:val="09537329"/>
    <w:rsid w:val="09809E36"/>
    <w:rsid w:val="0985B217"/>
    <w:rsid w:val="09A6B565"/>
    <w:rsid w:val="09A8F375"/>
    <w:rsid w:val="09C0B4C7"/>
    <w:rsid w:val="09DD5CA1"/>
    <w:rsid w:val="09E30BAF"/>
    <w:rsid w:val="09EDF66A"/>
    <w:rsid w:val="0A05740A"/>
    <w:rsid w:val="0A25B447"/>
    <w:rsid w:val="0A337E96"/>
    <w:rsid w:val="0A4003E8"/>
    <w:rsid w:val="0A43A1CB"/>
    <w:rsid w:val="0A4CB056"/>
    <w:rsid w:val="0A5120BA"/>
    <w:rsid w:val="0A648722"/>
    <w:rsid w:val="0A734A93"/>
    <w:rsid w:val="0A9162AF"/>
    <w:rsid w:val="0AA26965"/>
    <w:rsid w:val="0AB94708"/>
    <w:rsid w:val="0AC07CEA"/>
    <w:rsid w:val="0B091748"/>
    <w:rsid w:val="0B172620"/>
    <w:rsid w:val="0B172B0C"/>
    <w:rsid w:val="0B1AD14F"/>
    <w:rsid w:val="0B733C68"/>
    <w:rsid w:val="0B73655B"/>
    <w:rsid w:val="0B8A0434"/>
    <w:rsid w:val="0B8A6F56"/>
    <w:rsid w:val="0B8F109C"/>
    <w:rsid w:val="0BA1446B"/>
    <w:rsid w:val="0BB4F34D"/>
    <w:rsid w:val="0BB7C73F"/>
    <w:rsid w:val="0BCD0993"/>
    <w:rsid w:val="0BD6E4BF"/>
    <w:rsid w:val="0BD9FA5E"/>
    <w:rsid w:val="0BE17D1C"/>
    <w:rsid w:val="0BE2CC1D"/>
    <w:rsid w:val="0C1F0B8F"/>
    <w:rsid w:val="0C236FF5"/>
    <w:rsid w:val="0C40A055"/>
    <w:rsid w:val="0C85FBB2"/>
    <w:rsid w:val="0C8C9892"/>
    <w:rsid w:val="0C8F2F4B"/>
    <w:rsid w:val="0C9A9C78"/>
    <w:rsid w:val="0CA195B5"/>
    <w:rsid w:val="0CB29B09"/>
    <w:rsid w:val="0CB6A1B0"/>
    <w:rsid w:val="0CD76E97"/>
    <w:rsid w:val="0CE2F35B"/>
    <w:rsid w:val="0CF1899B"/>
    <w:rsid w:val="0D05A5A1"/>
    <w:rsid w:val="0D3ACB7F"/>
    <w:rsid w:val="0D3AFA41"/>
    <w:rsid w:val="0D64DF5E"/>
    <w:rsid w:val="0D863F86"/>
    <w:rsid w:val="0D8D250E"/>
    <w:rsid w:val="0D9F8056"/>
    <w:rsid w:val="0DAF2DCB"/>
    <w:rsid w:val="0DC9D5B4"/>
    <w:rsid w:val="0E3B904E"/>
    <w:rsid w:val="0E486A93"/>
    <w:rsid w:val="0E525F4A"/>
    <w:rsid w:val="0E57F5B4"/>
    <w:rsid w:val="0E9E2E8C"/>
    <w:rsid w:val="0EB8807C"/>
    <w:rsid w:val="0EEB2212"/>
    <w:rsid w:val="0EF6D5F2"/>
    <w:rsid w:val="0EF90850"/>
    <w:rsid w:val="0F216D02"/>
    <w:rsid w:val="0F5516D8"/>
    <w:rsid w:val="0F5652F9"/>
    <w:rsid w:val="0F697834"/>
    <w:rsid w:val="0F7E572A"/>
    <w:rsid w:val="0F944FF9"/>
    <w:rsid w:val="0F98F971"/>
    <w:rsid w:val="0F9C9646"/>
    <w:rsid w:val="0FBA9868"/>
    <w:rsid w:val="0FDE0F83"/>
    <w:rsid w:val="0FE41455"/>
    <w:rsid w:val="10069236"/>
    <w:rsid w:val="100B3AF8"/>
    <w:rsid w:val="100B991C"/>
    <w:rsid w:val="1030F441"/>
    <w:rsid w:val="1038B00E"/>
    <w:rsid w:val="1051DB39"/>
    <w:rsid w:val="105967D5"/>
    <w:rsid w:val="105D7557"/>
    <w:rsid w:val="10758282"/>
    <w:rsid w:val="1088645E"/>
    <w:rsid w:val="10A13D56"/>
    <w:rsid w:val="10AD867A"/>
    <w:rsid w:val="10B086C0"/>
    <w:rsid w:val="10B7B71E"/>
    <w:rsid w:val="10C59FC9"/>
    <w:rsid w:val="10C69B5B"/>
    <w:rsid w:val="11302267"/>
    <w:rsid w:val="116AC3CA"/>
    <w:rsid w:val="1175F80D"/>
    <w:rsid w:val="117F4577"/>
    <w:rsid w:val="1197DE7B"/>
    <w:rsid w:val="11D0BD26"/>
    <w:rsid w:val="11E01D5B"/>
    <w:rsid w:val="120DD993"/>
    <w:rsid w:val="127C696D"/>
    <w:rsid w:val="128CA44D"/>
    <w:rsid w:val="129240DE"/>
    <w:rsid w:val="129FBE68"/>
    <w:rsid w:val="12A76926"/>
    <w:rsid w:val="12A92042"/>
    <w:rsid w:val="12AE3F75"/>
    <w:rsid w:val="12DBA123"/>
    <w:rsid w:val="13163154"/>
    <w:rsid w:val="1316B241"/>
    <w:rsid w:val="13262D40"/>
    <w:rsid w:val="133DF947"/>
    <w:rsid w:val="1374E725"/>
    <w:rsid w:val="13B49303"/>
    <w:rsid w:val="13CB727D"/>
    <w:rsid w:val="13D4C146"/>
    <w:rsid w:val="13E5273C"/>
    <w:rsid w:val="1410B7BA"/>
    <w:rsid w:val="1429C798"/>
    <w:rsid w:val="143A6A8D"/>
    <w:rsid w:val="144914F6"/>
    <w:rsid w:val="1450611E"/>
    <w:rsid w:val="149C44AD"/>
    <w:rsid w:val="14AC118D"/>
    <w:rsid w:val="14CE8CB1"/>
    <w:rsid w:val="14D0FCA9"/>
    <w:rsid w:val="14D49340"/>
    <w:rsid w:val="14D9BF10"/>
    <w:rsid w:val="14E18A40"/>
    <w:rsid w:val="14F730BE"/>
    <w:rsid w:val="15254C5C"/>
    <w:rsid w:val="1536D213"/>
    <w:rsid w:val="1571CC11"/>
    <w:rsid w:val="157D98A1"/>
    <w:rsid w:val="15AED498"/>
    <w:rsid w:val="15D8BC56"/>
    <w:rsid w:val="15E0E288"/>
    <w:rsid w:val="15E45FF0"/>
    <w:rsid w:val="15EB38D9"/>
    <w:rsid w:val="15F09E77"/>
    <w:rsid w:val="15FC19EA"/>
    <w:rsid w:val="1640B5D9"/>
    <w:rsid w:val="1649771E"/>
    <w:rsid w:val="165265A5"/>
    <w:rsid w:val="1659E6EF"/>
    <w:rsid w:val="166F1BD8"/>
    <w:rsid w:val="1677A4E5"/>
    <w:rsid w:val="167F847D"/>
    <w:rsid w:val="16857B5F"/>
    <w:rsid w:val="16955F45"/>
    <w:rsid w:val="16ECE5E0"/>
    <w:rsid w:val="1706534F"/>
    <w:rsid w:val="173F8B0C"/>
    <w:rsid w:val="17629741"/>
    <w:rsid w:val="176EC67E"/>
    <w:rsid w:val="17950EE8"/>
    <w:rsid w:val="17B32F73"/>
    <w:rsid w:val="17D7B479"/>
    <w:rsid w:val="181632AE"/>
    <w:rsid w:val="182100E8"/>
    <w:rsid w:val="1841DB38"/>
    <w:rsid w:val="1843C4C1"/>
    <w:rsid w:val="18518E50"/>
    <w:rsid w:val="190399C6"/>
    <w:rsid w:val="191642AE"/>
    <w:rsid w:val="193A3F13"/>
    <w:rsid w:val="195606FE"/>
    <w:rsid w:val="1975B910"/>
    <w:rsid w:val="19924E83"/>
    <w:rsid w:val="19988FCA"/>
    <w:rsid w:val="19BCB08E"/>
    <w:rsid w:val="19CB9202"/>
    <w:rsid w:val="19DA20DA"/>
    <w:rsid w:val="19EF80BC"/>
    <w:rsid w:val="19FC6A17"/>
    <w:rsid w:val="1A23855A"/>
    <w:rsid w:val="1A292B56"/>
    <w:rsid w:val="1A5468C0"/>
    <w:rsid w:val="1A70148D"/>
    <w:rsid w:val="1A72B43C"/>
    <w:rsid w:val="1AB6DBB8"/>
    <w:rsid w:val="1ACC559B"/>
    <w:rsid w:val="1ACD3E7E"/>
    <w:rsid w:val="1ACE2F1A"/>
    <w:rsid w:val="1AD4D68B"/>
    <w:rsid w:val="1AD73685"/>
    <w:rsid w:val="1ADA0CDE"/>
    <w:rsid w:val="1ADEF233"/>
    <w:rsid w:val="1AF0982C"/>
    <w:rsid w:val="1AFA333C"/>
    <w:rsid w:val="1B1A7261"/>
    <w:rsid w:val="1B2EA4A8"/>
    <w:rsid w:val="1B4807BE"/>
    <w:rsid w:val="1B55C56F"/>
    <w:rsid w:val="1B75D343"/>
    <w:rsid w:val="1B7BC58E"/>
    <w:rsid w:val="1BB53BC0"/>
    <w:rsid w:val="1BBF6317"/>
    <w:rsid w:val="1BC4F977"/>
    <w:rsid w:val="1BF16F77"/>
    <w:rsid w:val="1BF595F6"/>
    <w:rsid w:val="1C4EB5AC"/>
    <w:rsid w:val="1C5B01CF"/>
    <w:rsid w:val="1C7A852B"/>
    <w:rsid w:val="1CA87ECC"/>
    <w:rsid w:val="1CCDAC31"/>
    <w:rsid w:val="1CF3C46B"/>
    <w:rsid w:val="1D1735E4"/>
    <w:rsid w:val="1D2F8C4E"/>
    <w:rsid w:val="1D43A539"/>
    <w:rsid w:val="1D44C8A6"/>
    <w:rsid w:val="1D4CCC24"/>
    <w:rsid w:val="1D4DBF1B"/>
    <w:rsid w:val="1D508C3A"/>
    <w:rsid w:val="1D5E8DDA"/>
    <w:rsid w:val="1D8C83F1"/>
    <w:rsid w:val="1D8D6C22"/>
    <w:rsid w:val="1D933E4D"/>
    <w:rsid w:val="1DB9E67D"/>
    <w:rsid w:val="1DCACC5D"/>
    <w:rsid w:val="1DDBF5C9"/>
    <w:rsid w:val="1E35C0B2"/>
    <w:rsid w:val="1E7CC912"/>
    <w:rsid w:val="1EA6CE4D"/>
    <w:rsid w:val="1EB30645"/>
    <w:rsid w:val="1EB3E85B"/>
    <w:rsid w:val="1EC24423"/>
    <w:rsid w:val="1ED8B1C7"/>
    <w:rsid w:val="1EF29CBA"/>
    <w:rsid w:val="1F263C1F"/>
    <w:rsid w:val="1F28AEC4"/>
    <w:rsid w:val="1F6C9692"/>
    <w:rsid w:val="1F923462"/>
    <w:rsid w:val="1FB5AA66"/>
    <w:rsid w:val="1FC1DDBB"/>
    <w:rsid w:val="1FCBF6D5"/>
    <w:rsid w:val="1FD86E77"/>
    <w:rsid w:val="1FEAABCD"/>
    <w:rsid w:val="1FFB8610"/>
    <w:rsid w:val="200AE769"/>
    <w:rsid w:val="2057AD04"/>
    <w:rsid w:val="2069F40D"/>
    <w:rsid w:val="206EDDEF"/>
    <w:rsid w:val="20855FDD"/>
    <w:rsid w:val="209D5B0C"/>
    <w:rsid w:val="20B418E1"/>
    <w:rsid w:val="20BAC430"/>
    <w:rsid w:val="20CB9C6E"/>
    <w:rsid w:val="20CDA60C"/>
    <w:rsid w:val="20CECDAB"/>
    <w:rsid w:val="20DCA66C"/>
    <w:rsid w:val="211A63D9"/>
    <w:rsid w:val="212022F9"/>
    <w:rsid w:val="2122B2D1"/>
    <w:rsid w:val="21350B5A"/>
    <w:rsid w:val="215A8A47"/>
    <w:rsid w:val="216712BF"/>
    <w:rsid w:val="216E1B1F"/>
    <w:rsid w:val="2183C950"/>
    <w:rsid w:val="21A666FC"/>
    <w:rsid w:val="21A6EF64"/>
    <w:rsid w:val="21B6133C"/>
    <w:rsid w:val="21D641D5"/>
    <w:rsid w:val="21E541B2"/>
    <w:rsid w:val="224F14AF"/>
    <w:rsid w:val="2267CD97"/>
    <w:rsid w:val="227F5DAB"/>
    <w:rsid w:val="229A8E06"/>
    <w:rsid w:val="22AF1A84"/>
    <w:rsid w:val="22CAEB0D"/>
    <w:rsid w:val="22CFD29F"/>
    <w:rsid w:val="22D0DBBB"/>
    <w:rsid w:val="22E07550"/>
    <w:rsid w:val="22FB3EEF"/>
    <w:rsid w:val="23072B0C"/>
    <w:rsid w:val="23157112"/>
    <w:rsid w:val="2317587F"/>
    <w:rsid w:val="231FA9A5"/>
    <w:rsid w:val="2324252F"/>
    <w:rsid w:val="23254378"/>
    <w:rsid w:val="234AEA96"/>
    <w:rsid w:val="2356A22F"/>
    <w:rsid w:val="23752A37"/>
    <w:rsid w:val="23CA67A0"/>
    <w:rsid w:val="23CAB0D1"/>
    <w:rsid w:val="23E8C2E9"/>
    <w:rsid w:val="23EAE510"/>
    <w:rsid w:val="23F9E57C"/>
    <w:rsid w:val="24315491"/>
    <w:rsid w:val="243A0DE1"/>
    <w:rsid w:val="244817E0"/>
    <w:rsid w:val="2452972F"/>
    <w:rsid w:val="245593DD"/>
    <w:rsid w:val="2457FAC6"/>
    <w:rsid w:val="2458C27A"/>
    <w:rsid w:val="2465A585"/>
    <w:rsid w:val="246B24F7"/>
    <w:rsid w:val="247A111C"/>
    <w:rsid w:val="24A4FDF8"/>
    <w:rsid w:val="24A50236"/>
    <w:rsid w:val="24CAD2F7"/>
    <w:rsid w:val="24CB0BA2"/>
    <w:rsid w:val="24E5C6C1"/>
    <w:rsid w:val="24E73023"/>
    <w:rsid w:val="2508DBE6"/>
    <w:rsid w:val="2519B924"/>
    <w:rsid w:val="25359D00"/>
    <w:rsid w:val="253F1CBE"/>
    <w:rsid w:val="25408911"/>
    <w:rsid w:val="255E1FC3"/>
    <w:rsid w:val="2576114B"/>
    <w:rsid w:val="258BEED9"/>
    <w:rsid w:val="2597F3DA"/>
    <w:rsid w:val="25A4CEFF"/>
    <w:rsid w:val="25C97924"/>
    <w:rsid w:val="25CA8808"/>
    <w:rsid w:val="263CE231"/>
    <w:rsid w:val="269DFB1E"/>
    <w:rsid w:val="26D55BB0"/>
    <w:rsid w:val="26D5C31B"/>
    <w:rsid w:val="274A792C"/>
    <w:rsid w:val="27665869"/>
    <w:rsid w:val="27747306"/>
    <w:rsid w:val="279923B0"/>
    <w:rsid w:val="27AEF281"/>
    <w:rsid w:val="27B54C23"/>
    <w:rsid w:val="27C47BAA"/>
    <w:rsid w:val="27CF1B34"/>
    <w:rsid w:val="27E86454"/>
    <w:rsid w:val="27F8B79F"/>
    <w:rsid w:val="27FA1492"/>
    <w:rsid w:val="2829496D"/>
    <w:rsid w:val="284F0E9B"/>
    <w:rsid w:val="285428C2"/>
    <w:rsid w:val="2871F575"/>
    <w:rsid w:val="28B0FAC5"/>
    <w:rsid w:val="28B4D815"/>
    <w:rsid w:val="28CEBC29"/>
    <w:rsid w:val="28E74671"/>
    <w:rsid w:val="29143882"/>
    <w:rsid w:val="292D60DF"/>
    <w:rsid w:val="2937530D"/>
    <w:rsid w:val="29507F7F"/>
    <w:rsid w:val="2954C0FF"/>
    <w:rsid w:val="295F372F"/>
    <w:rsid w:val="296059C6"/>
    <w:rsid w:val="29787359"/>
    <w:rsid w:val="297D2413"/>
    <w:rsid w:val="29B39B74"/>
    <w:rsid w:val="29E05BED"/>
    <w:rsid w:val="2A0A3207"/>
    <w:rsid w:val="2A0F43B8"/>
    <w:rsid w:val="2A34460A"/>
    <w:rsid w:val="2A3D516B"/>
    <w:rsid w:val="2A4DB0EA"/>
    <w:rsid w:val="2A5CED38"/>
    <w:rsid w:val="2A671844"/>
    <w:rsid w:val="2A9E7541"/>
    <w:rsid w:val="2AC483EC"/>
    <w:rsid w:val="2AF515FD"/>
    <w:rsid w:val="2B126989"/>
    <w:rsid w:val="2B1589CE"/>
    <w:rsid w:val="2B274057"/>
    <w:rsid w:val="2B77E7FC"/>
    <w:rsid w:val="2B9976D3"/>
    <w:rsid w:val="2BB64BC8"/>
    <w:rsid w:val="2BDF032C"/>
    <w:rsid w:val="2BF5F6F5"/>
    <w:rsid w:val="2C137516"/>
    <w:rsid w:val="2C13A746"/>
    <w:rsid w:val="2C1BCDB8"/>
    <w:rsid w:val="2C2A7FB1"/>
    <w:rsid w:val="2C34985A"/>
    <w:rsid w:val="2C440DBE"/>
    <w:rsid w:val="2C6C4198"/>
    <w:rsid w:val="2C6FBF68"/>
    <w:rsid w:val="2C8F0A83"/>
    <w:rsid w:val="2CB1A619"/>
    <w:rsid w:val="2CB5CFA3"/>
    <w:rsid w:val="2CBBD577"/>
    <w:rsid w:val="2CF44D9C"/>
    <w:rsid w:val="2CFEEF29"/>
    <w:rsid w:val="2D165105"/>
    <w:rsid w:val="2D44FCD9"/>
    <w:rsid w:val="2D89D9D0"/>
    <w:rsid w:val="2D952055"/>
    <w:rsid w:val="2DA22D4C"/>
    <w:rsid w:val="2DAD19BE"/>
    <w:rsid w:val="2DAF77A7"/>
    <w:rsid w:val="2DB5F7CE"/>
    <w:rsid w:val="2DD502A3"/>
    <w:rsid w:val="2DD63C01"/>
    <w:rsid w:val="2DD7F7CD"/>
    <w:rsid w:val="2DE31945"/>
    <w:rsid w:val="2DE7A9A5"/>
    <w:rsid w:val="2DF7D733"/>
    <w:rsid w:val="2DFFA45A"/>
    <w:rsid w:val="2E2D2920"/>
    <w:rsid w:val="2E35A721"/>
    <w:rsid w:val="2E50BDB9"/>
    <w:rsid w:val="2E52FA56"/>
    <w:rsid w:val="2E8166AF"/>
    <w:rsid w:val="2E9F2601"/>
    <w:rsid w:val="2EB6BD5A"/>
    <w:rsid w:val="2EDC6651"/>
    <w:rsid w:val="2F3FA76F"/>
    <w:rsid w:val="2F6D4FD7"/>
    <w:rsid w:val="2F73C82E"/>
    <w:rsid w:val="2FE9616E"/>
    <w:rsid w:val="30189843"/>
    <w:rsid w:val="30233CF3"/>
    <w:rsid w:val="30456FF6"/>
    <w:rsid w:val="306437D7"/>
    <w:rsid w:val="30A0D23C"/>
    <w:rsid w:val="30B5EFB1"/>
    <w:rsid w:val="30D16EE4"/>
    <w:rsid w:val="30E2B523"/>
    <w:rsid w:val="3103A0D0"/>
    <w:rsid w:val="3125F40D"/>
    <w:rsid w:val="315A63EC"/>
    <w:rsid w:val="31662704"/>
    <w:rsid w:val="316DCCC1"/>
    <w:rsid w:val="317FE050"/>
    <w:rsid w:val="3181D806"/>
    <w:rsid w:val="3188E9D7"/>
    <w:rsid w:val="3198E14F"/>
    <w:rsid w:val="31BE72E6"/>
    <w:rsid w:val="31CBA6EB"/>
    <w:rsid w:val="3227A557"/>
    <w:rsid w:val="324A4AA8"/>
    <w:rsid w:val="3267F7EB"/>
    <w:rsid w:val="3267FF1D"/>
    <w:rsid w:val="327D6461"/>
    <w:rsid w:val="32828D31"/>
    <w:rsid w:val="328E4A39"/>
    <w:rsid w:val="328FD81B"/>
    <w:rsid w:val="32CA8EAA"/>
    <w:rsid w:val="32E686D5"/>
    <w:rsid w:val="32E6FF85"/>
    <w:rsid w:val="32E7E674"/>
    <w:rsid w:val="32EEED0B"/>
    <w:rsid w:val="32F1FC38"/>
    <w:rsid w:val="32F904F4"/>
    <w:rsid w:val="330C4A67"/>
    <w:rsid w:val="33123851"/>
    <w:rsid w:val="3319BB61"/>
    <w:rsid w:val="336A553A"/>
    <w:rsid w:val="337FBA33"/>
    <w:rsid w:val="3388AF65"/>
    <w:rsid w:val="33A5D5C8"/>
    <w:rsid w:val="33B8028F"/>
    <w:rsid w:val="33C0CDE3"/>
    <w:rsid w:val="33C19D0E"/>
    <w:rsid w:val="33C83C5F"/>
    <w:rsid w:val="33CB6243"/>
    <w:rsid w:val="33CB7469"/>
    <w:rsid w:val="33DA16EC"/>
    <w:rsid w:val="33EC2762"/>
    <w:rsid w:val="33ECD577"/>
    <w:rsid w:val="33EF5D2B"/>
    <w:rsid w:val="340590CE"/>
    <w:rsid w:val="34184BEE"/>
    <w:rsid w:val="3455F339"/>
    <w:rsid w:val="348CA4B1"/>
    <w:rsid w:val="348EE26F"/>
    <w:rsid w:val="349BF843"/>
    <w:rsid w:val="34AC0EF5"/>
    <w:rsid w:val="34D5D273"/>
    <w:rsid w:val="34FEA303"/>
    <w:rsid w:val="35138F26"/>
    <w:rsid w:val="351E2D88"/>
    <w:rsid w:val="35236AA5"/>
    <w:rsid w:val="35321A40"/>
    <w:rsid w:val="3534FFA1"/>
    <w:rsid w:val="355F19DF"/>
    <w:rsid w:val="3579AF6F"/>
    <w:rsid w:val="358A8033"/>
    <w:rsid w:val="3594EBB5"/>
    <w:rsid w:val="3596803E"/>
    <w:rsid w:val="35A27273"/>
    <w:rsid w:val="35D8CE03"/>
    <w:rsid w:val="35DE4EED"/>
    <w:rsid w:val="35E2627A"/>
    <w:rsid w:val="35E61A99"/>
    <w:rsid w:val="362FDB1E"/>
    <w:rsid w:val="36368852"/>
    <w:rsid w:val="368F17D3"/>
    <w:rsid w:val="368F7B23"/>
    <w:rsid w:val="369D787B"/>
    <w:rsid w:val="36A80449"/>
    <w:rsid w:val="36B6738E"/>
    <w:rsid w:val="36BD2AAF"/>
    <w:rsid w:val="36C766EB"/>
    <w:rsid w:val="36D29241"/>
    <w:rsid w:val="36E0DCFA"/>
    <w:rsid w:val="36F19A8E"/>
    <w:rsid w:val="37209D23"/>
    <w:rsid w:val="376C53A6"/>
    <w:rsid w:val="37789D26"/>
    <w:rsid w:val="378A9C3C"/>
    <w:rsid w:val="3792C1A1"/>
    <w:rsid w:val="37B2720F"/>
    <w:rsid w:val="37BA70A8"/>
    <w:rsid w:val="37C1C6B6"/>
    <w:rsid w:val="37D6D143"/>
    <w:rsid w:val="37E86E6A"/>
    <w:rsid w:val="37FF9F55"/>
    <w:rsid w:val="38082E64"/>
    <w:rsid w:val="382573AF"/>
    <w:rsid w:val="383F02E5"/>
    <w:rsid w:val="38AE8312"/>
    <w:rsid w:val="38CE8E4F"/>
    <w:rsid w:val="39203A1A"/>
    <w:rsid w:val="393028A2"/>
    <w:rsid w:val="39372862"/>
    <w:rsid w:val="393F23CA"/>
    <w:rsid w:val="3986BA98"/>
    <w:rsid w:val="3992902C"/>
    <w:rsid w:val="39BB5A84"/>
    <w:rsid w:val="39BF7A89"/>
    <w:rsid w:val="39CF32AF"/>
    <w:rsid w:val="39D977C7"/>
    <w:rsid w:val="3A015B08"/>
    <w:rsid w:val="3A1F77DC"/>
    <w:rsid w:val="3A2A3EC7"/>
    <w:rsid w:val="3A3FDBEA"/>
    <w:rsid w:val="3A47CA9C"/>
    <w:rsid w:val="3A704A5E"/>
    <w:rsid w:val="3AA7D9C1"/>
    <w:rsid w:val="3AB79E33"/>
    <w:rsid w:val="3AB84F53"/>
    <w:rsid w:val="3AC7F96C"/>
    <w:rsid w:val="3AFDDBB9"/>
    <w:rsid w:val="3B025BB5"/>
    <w:rsid w:val="3B149E4F"/>
    <w:rsid w:val="3B227500"/>
    <w:rsid w:val="3B26E418"/>
    <w:rsid w:val="3B2A6784"/>
    <w:rsid w:val="3B4681C9"/>
    <w:rsid w:val="3B4A1E52"/>
    <w:rsid w:val="3B4F6CE8"/>
    <w:rsid w:val="3B79F5B2"/>
    <w:rsid w:val="3B7B5DF7"/>
    <w:rsid w:val="3B84C3EC"/>
    <w:rsid w:val="3BBA9E93"/>
    <w:rsid w:val="3BBD7F00"/>
    <w:rsid w:val="3BC42A1C"/>
    <w:rsid w:val="3BCD7C9F"/>
    <w:rsid w:val="3BE5D5C8"/>
    <w:rsid w:val="3BEEAA45"/>
    <w:rsid w:val="3BFDB671"/>
    <w:rsid w:val="3C05021A"/>
    <w:rsid w:val="3C0EC839"/>
    <w:rsid w:val="3C137D48"/>
    <w:rsid w:val="3C5107CE"/>
    <w:rsid w:val="3C635707"/>
    <w:rsid w:val="3C83CA19"/>
    <w:rsid w:val="3CAA7A8A"/>
    <w:rsid w:val="3CF0D57A"/>
    <w:rsid w:val="3CF61187"/>
    <w:rsid w:val="3D080AB1"/>
    <w:rsid w:val="3D2A4655"/>
    <w:rsid w:val="3D2F716C"/>
    <w:rsid w:val="3D46C2A7"/>
    <w:rsid w:val="3D9665DC"/>
    <w:rsid w:val="3DB9FAD8"/>
    <w:rsid w:val="3DE960D2"/>
    <w:rsid w:val="3DFAE109"/>
    <w:rsid w:val="3E29B22C"/>
    <w:rsid w:val="3E319FB2"/>
    <w:rsid w:val="3E35C2FF"/>
    <w:rsid w:val="3E3AF989"/>
    <w:rsid w:val="3E3D573E"/>
    <w:rsid w:val="3E42DA89"/>
    <w:rsid w:val="3E4E3C3C"/>
    <w:rsid w:val="3E74CBEB"/>
    <w:rsid w:val="3E7B3B5B"/>
    <w:rsid w:val="3E8285B6"/>
    <w:rsid w:val="3E9872EA"/>
    <w:rsid w:val="3EA2EF93"/>
    <w:rsid w:val="3EB7018B"/>
    <w:rsid w:val="3EC4FDD6"/>
    <w:rsid w:val="3EC8EE26"/>
    <w:rsid w:val="3EE0BE46"/>
    <w:rsid w:val="3EE36CC5"/>
    <w:rsid w:val="3F33EE22"/>
    <w:rsid w:val="3F4E4612"/>
    <w:rsid w:val="3F507432"/>
    <w:rsid w:val="3F6FB669"/>
    <w:rsid w:val="3F964675"/>
    <w:rsid w:val="3FCAC561"/>
    <w:rsid w:val="3FD6A92F"/>
    <w:rsid w:val="3FF071A6"/>
    <w:rsid w:val="3FF52291"/>
    <w:rsid w:val="40668C4B"/>
    <w:rsid w:val="40738B7F"/>
    <w:rsid w:val="40739F7E"/>
    <w:rsid w:val="40ABEAEF"/>
    <w:rsid w:val="40CC5CEA"/>
    <w:rsid w:val="40D8733D"/>
    <w:rsid w:val="40FC7C67"/>
    <w:rsid w:val="410B86CA"/>
    <w:rsid w:val="4123EA38"/>
    <w:rsid w:val="4154EAFB"/>
    <w:rsid w:val="417A7B4B"/>
    <w:rsid w:val="418C4207"/>
    <w:rsid w:val="41940ECA"/>
    <w:rsid w:val="41B827BF"/>
    <w:rsid w:val="41DDFB5B"/>
    <w:rsid w:val="41E9C69E"/>
    <w:rsid w:val="41FC4326"/>
    <w:rsid w:val="420056EF"/>
    <w:rsid w:val="42021AF0"/>
    <w:rsid w:val="424FA1DF"/>
    <w:rsid w:val="426AA37A"/>
    <w:rsid w:val="429642F7"/>
    <w:rsid w:val="4298E46C"/>
    <w:rsid w:val="429F4153"/>
    <w:rsid w:val="42BC8404"/>
    <w:rsid w:val="42C1B3F8"/>
    <w:rsid w:val="42CC1CD1"/>
    <w:rsid w:val="42D7ABBD"/>
    <w:rsid w:val="42E5DE93"/>
    <w:rsid w:val="42F4453D"/>
    <w:rsid w:val="433CDEFF"/>
    <w:rsid w:val="4355F6D9"/>
    <w:rsid w:val="436150AD"/>
    <w:rsid w:val="43ABD928"/>
    <w:rsid w:val="43BF2BF0"/>
    <w:rsid w:val="43D749B5"/>
    <w:rsid w:val="43EDECCD"/>
    <w:rsid w:val="441D5DCB"/>
    <w:rsid w:val="44370E8F"/>
    <w:rsid w:val="4440F765"/>
    <w:rsid w:val="4448CA3E"/>
    <w:rsid w:val="44A297E5"/>
    <w:rsid w:val="44CFE164"/>
    <w:rsid w:val="44F2A3A9"/>
    <w:rsid w:val="4518B25E"/>
    <w:rsid w:val="452EFCF9"/>
    <w:rsid w:val="45340C98"/>
    <w:rsid w:val="4551474C"/>
    <w:rsid w:val="457CCACE"/>
    <w:rsid w:val="457EAD92"/>
    <w:rsid w:val="458EAB66"/>
    <w:rsid w:val="45ED283C"/>
    <w:rsid w:val="45F954BA"/>
    <w:rsid w:val="463D1CB9"/>
    <w:rsid w:val="463D3F93"/>
    <w:rsid w:val="46722045"/>
    <w:rsid w:val="4694D3DC"/>
    <w:rsid w:val="46A5EB17"/>
    <w:rsid w:val="46C2C5D8"/>
    <w:rsid w:val="470C4ED3"/>
    <w:rsid w:val="474ECD66"/>
    <w:rsid w:val="474FDF63"/>
    <w:rsid w:val="47659014"/>
    <w:rsid w:val="47783DAD"/>
    <w:rsid w:val="47955E5E"/>
    <w:rsid w:val="479B42AE"/>
    <w:rsid w:val="47AFF966"/>
    <w:rsid w:val="47B56FEF"/>
    <w:rsid w:val="47C7B660"/>
    <w:rsid w:val="47CCE7DA"/>
    <w:rsid w:val="47F7D65F"/>
    <w:rsid w:val="484BE68B"/>
    <w:rsid w:val="488F3A1E"/>
    <w:rsid w:val="48CA9978"/>
    <w:rsid w:val="48D7FF40"/>
    <w:rsid w:val="48EA9DC7"/>
    <w:rsid w:val="49320E13"/>
    <w:rsid w:val="495F17F7"/>
    <w:rsid w:val="49AAF02E"/>
    <w:rsid w:val="49B446DA"/>
    <w:rsid w:val="49BC09FE"/>
    <w:rsid w:val="49CACA4A"/>
    <w:rsid w:val="49EA6BAA"/>
    <w:rsid w:val="49F11FA7"/>
    <w:rsid w:val="4A0B68D4"/>
    <w:rsid w:val="4A1B1AAC"/>
    <w:rsid w:val="4A29584F"/>
    <w:rsid w:val="4A7773D0"/>
    <w:rsid w:val="4A7F21F1"/>
    <w:rsid w:val="4AEFF3C6"/>
    <w:rsid w:val="4B207D5B"/>
    <w:rsid w:val="4B4BE63D"/>
    <w:rsid w:val="4B716EB4"/>
    <w:rsid w:val="4B7622FA"/>
    <w:rsid w:val="4BA19B51"/>
    <w:rsid w:val="4BAC4A19"/>
    <w:rsid w:val="4BB6EB0D"/>
    <w:rsid w:val="4BC58400"/>
    <w:rsid w:val="4BD39C1D"/>
    <w:rsid w:val="4BF14915"/>
    <w:rsid w:val="4BF2E1D0"/>
    <w:rsid w:val="4C1DAEA0"/>
    <w:rsid w:val="4C26E740"/>
    <w:rsid w:val="4C8D6BC0"/>
    <w:rsid w:val="4CB291D8"/>
    <w:rsid w:val="4CB9AF07"/>
    <w:rsid w:val="4CE6AC2C"/>
    <w:rsid w:val="4D0BB1AF"/>
    <w:rsid w:val="4D152C9B"/>
    <w:rsid w:val="4D3C97EA"/>
    <w:rsid w:val="4D5F0ECE"/>
    <w:rsid w:val="4D67F186"/>
    <w:rsid w:val="4D76DBFF"/>
    <w:rsid w:val="4DB03422"/>
    <w:rsid w:val="4DB15C07"/>
    <w:rsid w:val="4DD432A0"/>
    <w:rsid w:val="4DEA4CBA"/>
    <w:rsid w:val="4E0D9ED5"/>
    <w:rsid w:val="4E815FAC"/>
    <w:rsid w:val="4E89E7D7"/>
    <w:rsid w:val="4E9190DB"/>
    <w:rsid w:val="4E933E4E"/>
    <w:rsid w:val="4EBA6382"/>
    <w:rsid w:val="4EF5D082"/>
    <w:rsid w:val="4F13B3F6"/>
    <w:rsid w:val="4F1479EF"/>
    <w:rsid w:val="4F15F717"/>
    <w:rsid w:val="4F3EE8D1"/>
    <w:rsid w:val="4F4A096C"/>
    <w:rsid w:val="4F500AFA"/>
    <w:rsid w:val="4F671062"/>
    <w:rsid w:val="4F896E46"/>
    <w:rsid w:val="4FAD962A"/>
    <w:rsid w:val="4FAE31A0"/>
    <w:rsid w:val="4FD9F45A"/>
    <w:rsid w:val="4FF827B8"/>
    <w:rsid w:val="4FFED34A"/>
    <w:rsid w:val="500946CB"/>
    <w:rsid w:val="500CCBE8"/>
    <w:rsid w:val="501E1828"/>
    <w:rsid w:val="504CCD5D"/>
    <w:rsid w:val="50716344"/>
    <w:rsid w:val="50D56FC6"/>
    <w:rsid w:val="510F1477"/>
    <w:rsid w:val="512065E8"/>
    <w:rsid w:val="5138A2CA"/>
    <w:rsid w:val="5155A598"/>
    <w:rsid w:val="517776B8"/>
    <w:rsid w:val="517816A7"/>
    <w:rsid w:val="517F643E"/>
    <w:rsid w:val="518E9FCA"/>
    <w:rsid w:val="51D1933F"/>
    <w:rsid w:val="51F582B7"/>
    <w:rsid w:val="521E7F69"/>
    <w:rsid w:val="524BBB0B"/>
    <w:rsid w:val="5259B850"/>
    <w:rsid w:val="526843D7"/>
    <w:rsid w:val="52750074"/>
    <w:rsid w:val="527E0DE8"/>
    <w:rsid w:val="527F317D"/>
    <w:rsid w:val="5284CD2A"/>
    <w:rsid w:val="5289C9E3"/>
    <w:rsid w:val="52A366BF"/>
    <w:rsid w:val="52BBA1FA"/>
    <w:rsid w:val="52CDC38D"/>
    <w:rsid w:val="52D00A45"/>
    <w:rsid w:val="52D12873"/>
    <w:rsid w:val="5301DC47"/>
    <w:rsid w:val="5306B1A9"/>
    <w:rsid w:val="534596D8"/>
    <w:rsid w:val="53797871"/>
    <w:rsid w:val="5387219B"/>
    <w:rsid w:val="53902805"/>
    <w:rsid w:val="5391BB15"/>
    <w:rsid w:val="53970BBF"/>
    <w:rsid w:val="539F899F"/>
    <w:rsid w:val="53E7FDAF"/>
    <w:rsid w:val="53EDC370"/>
    <w:rsid w:val="53FCA385"/>
    <w:rsid w:val="54015C0D"/>
    <w:rsid w:val="542E254F"/>
    <w:rsid w:val="547748C8"/>
    <w:rsid w:val="5486860C"/>
    <w:rsid w:val="548DDBA9"/>
    <w:rsid w:val="5495DE0A"/>
    <w:rsid w:val="54C5E121"/>
    <w:rsid w:val="54C83FD7"/>
    <w:rsid w:val="54C9DEF7"/>
    <w:rsid w:val="54EEC2A7"/>
    <w:rsid w:val="54FC7CB1"/>
    <w:rsid w:val="5507EB04"/>
    <w:rsid w:val="550F0905"/>
    <w:rsid w:val="5533E5EC"/>
    <w:rsid w:val="5535FCB6"/>
    <w:rsid w:val="5573EFFA"/>
    <w:rsid w:val="55B268DE"/>
    <w:rsid w:val="55C9B682"/>
    <w:rsid w:val="55F31097"/>
    <w:rsid w:val="5654DCDA"/>
    <w:rsid w:val="5655BF3C"/>
    <w:rsid w:val="56643E69"/>
    <w:rsid w:val="56669FEE"/>
    <w:rsid w:val="567E3E88"/>
    <w:rsid w:val="56A7D837"/>
    <w:rsid w:val="56A92DE8"/>
    <w:rsid w:val="56B88724"/>
    <w:rsid w:val="56DDB9BE"/>
    <w:rsid w:val="571C0F1A"/>
    <w:rsid w:val="5731664E"/>
    <w:rsid w:val="57484945"/>
    <w:rsid w:val="5771876D"/>
    <w:rsid w:val="578EBBF1"/>
    <w:rsid w:val="57BB27DF"/>
    <w:rsid w:val="582DA7AD"/>
    <w:rsid w:val="58376FCF"/>
    <w:rsid w:val="58737F6E"/>
    <w:rsid w:val="588B4BE3"/>
    <w:rsid w:val="58923592"/>
    <w:rsid w:val="5894121F"/>
    <w:rsid w:val="58B5BBCB"/>
    <w:rsid w:val="58C3F4E5"/>
    <w:rsid w:val="58CAA7A2"/>
    <w:rsid w:val="58EC95C7"/>
    <w:rsid w:val="58F2DFFA"/>
    <w:rsid w:val="58F5B3D7"/>
    <w:rsid w:val="591593EF"/>
    <w:rsid w:val="596EBCC1"/>
    <w:rsid w:val="597EECB9"/>
    <w:rsid w:val="5981EDE1"/>
    <w:rsid w:val="5982889D"/>
    <w:rsid w:val="5989E963"/>
    <w:rsid w:val="59DB5C27"/>
    <w:rsid w:val="59F33E27"/>
    <w:rsid w:val="5A0FC7D7"/>
    <w:rsid w:val="5A135845"/>
    <w:rsid w:val="5A1F3390"/>
    <w:rsid w:val="5A22E45D"/>
    <w:rsid w:val="5A392BFC"/>
    <w:rsid w:val="5A44E1C5"/>
    <w:rsid w:val="5A582B53"/>
    <w:rsid w:val="5A666DC8"/>
    <w:rsid w:val="5A87A634"/>
    <w:rsid w:val="5A9D66D3"/>
    <w:rsid w:val="5AA52019"/>
    <w:rsid w:val="5AED6951"/>
    <w:rsid w:val="5AF34B09"/>
    <w:rsid w:val="5B486E17"/>
    <w:rsid w:val="5B51EFEB"/>
    <w:rsid w:val="5B5794F1"/>
    <w:rsid w:val="5B589643"/>
    <w:rsid w:val="5B7321C6"/>
    <w:rsid w:val="5B876D25"/>
    <w:rsid w:val="5B879088"/>
    <w:rsid w:val="5B9C1948"/>
    <w:rsid w:val="5B9C7081"/>
    <w:rsid w:val="5B9F79DD"/>
    <w:rsid w:val="5BC5CA36"/>
    <w:rsid w:val="5BD34803"/>
    <w:rsid w:val="5BE0B226"/>
    <w:rsid w:val="5BF0238A"/>
    <w:rsid w:val="5C0F7B6E"/>
    <w:rsid w:val="5C2BD033"/>
    <w:rsid w:val="5C6A1A9A"/>
    <w:rsid w:val="5CA422DD"/>
    <w:rsid w:val="5CB85FDF"/>
    <w:rsid w:val="5CCE9CA9"/>
    <w:rsid w:val="5CF3CCDF"/>
    <w:rsid w:val="5CF9D48C"/>
    <w:rsid w:val="5D2B5065"/>
    <w:rsid w:val="5D3B4A3E"/>
    <w:rsid w:val="5D4404EB"/>
    <w:rsid w:val="5D4C05DB"/>
    <w:rsid w:val="5D70CCBE"/>
    <w:rsid w:val="5D83891E"/>
    <w:rsid w:val="5DC486D6"/>
    <w:rsid w:val="5E02670B"/>
    <w:rsid w:val="5E082763"/>
    <w:rsid w:val="5E088ECF"/>
    <w:rsid w:val="5E33C7F6"/>
    <w:rsid w:val="5E6E7918"/>
    <w:rsid w:val="5E7C1BFB"/>
    <w:rsid w:val="5E903705"/>
    <w:rsid w:val="5EA7CB66"/>
    <w:rsid w:val="5EAECD4A"/>
    <w:rsid w:val="5EC720C6"/>
    <w:rsid w:val="5ECCA6D3"/>
    <w:rsid w:val="5ED08119"/>
    <w:rsid w:val="5ED71A9F"/>
    <w:rsid w:val="5F1C86F7"/>
    <w:rsid w:val="5F6FD007"/>
    <w:rsid w:val="5F70D7F6"/>
    <w:rsid w:val="5F8892FF"/>
    <w:rsid w:val="5FA663C1"/>
    <w:rsid w:val="5FD55325"/>
    <w:rsid w:val="5FDF5756"/>
    <w:rsid w:val="5FF50C71"/>
    <w:rsid w:val="5FF9B7A7"/>
    <w:rsid w:val="5FFF26AE"/>
    <w:rsid w:val="6000E13F"/>
    <w:rsid w:val="60014A23"/>
    <w:rsid w:val="6008FC90"/>
    <w:rsid w:val="601FFB84"/>
    <w:rsid w:val="60444371"/>
    <w:rsid w:val="604B3435"/>
    <w:rsid w:val="606F795C"/>
    <w:rsid w:val="606FEE80"/>
    <w:rsid w:val="60771603"/>
    <w:rsid w:val="607F2424"/>
    <w:rsid w:val="6090F560"/>
    <w:rsid w:val="6099E8E0"/>
    <w:rsid w:val="60B42349"/>
    <w:rsid w:val="60BB29E0"/>
    <w:rsid w:val="60D4BD5F"/>
    <w:rsid w:val="60D89B99"/>
    <w:rsid w:val="60EE4F8D"/>
    <w:rsid w:val="60F12354"/>
    <w:rsid w:val="6136CEA8"/>
    <w:rsid w:val="6148D040"/>
    <w:rsid w:val="61671C5C"/>
    <w:rsid w:val="61947590"/>
    <w:rsid w:val="61ACD882"/>
    <w:rsid w:val="61B2C7D2"/>
    <w:rsid w:val="61B6D5C1"/>
    <w:rsid w:val="61BD603D"/>
    <w:rsid w:val="61BFC017"/>
    <w:rsid w:val="61C63C96"/>
    <w:rsid w:val="61D99088"/>
    <w:rsid w:val="61E8D63B"/>
    <w:rsid w:val="61F94097"/>
    <w:rsid w:val="621268F4"/>
    <w:rsid w:val="6214B595"/>
    <w:rsid w:val="621905CC"/>
    <w:rsid w:val="624FF3AA"/>
    <w:rsid w:val="6253062F"/>
    <w:rsid w:val="62AFCDCB"/>
    <w:rsid w:val="62B80DEA"/>
    <w:rsid w:val="62E25B30"/>
    <w:rsid w:val="633B9B5E"/>
    <w:rsid w:val="6354A579"/>
    <w:rsid w:val="635C45DF"/>
    <w:rsid w:val="638D6FA9"/>
    <w:rsid w:val="63BD4863"/>
    <w:rsid w:val="63BDD5FD"/>
    <w:rsid w:val="643F8E16"/>
    <w:rsid w:val="644B9E2C"/>
    <w:rsid w:val="645AC455"/>
    <w:rsid w:val="646804A0"/>
    <w:rsid w:val="647D3C68"/>
    <w:rsid w:val="6490C06C"/>
    <w:rsid w:val="64B3C9D1"/>
    <w:rsid w:val="64B7EF01"/>
    <w:rsid w:val="64C23346"/>
    <w:rsid w:val="64E7EE48"/>
    <w:rsid w:val="64E87108"/>
    <w:rsid w:val="652AAB05"/>
    <w:rsid w:val="652EDE51"/>
    <w:rsid w:val="65827463"/>
    <w:rsid w:val="65E69897"/>
    <w:rsid w:val="6601A0ED"/>
    <w:rsid w:val="66206A6D"/>
    <w:rsid w:val="6622E624"/>
    <w:rsid w:val="66274937"/>
    <w:rsid w:val="664AD842"/>
    <w:rsid w:val="6688AE08"/>
    <w:rsid w:val="669234D9"/>
    <w:rsid w:val="6693C4A0"/>
    <w:rsid w:val="66A29ECD"/>
    <w:rsid w:val="66BA5822"/>
    <w:rsid w:val="66CAF8D7"/>
    <w:rsid w:val="670C11C7"/>
    <w:rsid w:val="67151476"/>
    <w:rsid w:val="672364CD"/>
    <w:rsid w:val="674393C1"/>
    <w:rsid w:val="677F8471"/>
    <w:rsid w:val="678C2BA2"/>
    <w:rsid w:val="67952C14"/>
    <w:rsid w:val="67A9F13B"/>
    <w:rsid w:val="67C1900F"/>
    <w:rsid w:val="67C69FB4"/>
    <w:rsid w:val="67E05826"/>
    <w:rsid w:val="680C6D89"/>
    <w:rsid w:val="6823A7D2"/>
    <w:rsid w:val="683C2EE9"/>
    <w:rsid w:val="683C8733"/>
    <w:rsid w:val="6848FCAD"/>
    <w:rsid w:val="687488DE"/>
    <w:rsid w:val="68949BC3"/>
    <w:rsid w:val="68B4BC24"/>
    <w:rsid w:val="68B6DB90"/>
    <w:rsid w:val="68BCCD0F"/>
    <w:rsid w:val="68BF352E"/>
    <w:rsid w:val="68DF038F"/>
    <w:rsid w:val="68DF6422"/>
    <w:rsid w:val="68E84586"/>
    <w:rsid w:val="68F4AFE1"/>
    <w:rsid w:val="690A533B"/>
    <w:rsid w:val="691F0F4F"/>
    <w:rsid w:val="6941ADFB"/>
    <w:rsid w:val="696A7A74"/>
    <w:rsid w:val="697826DF"/>
    <w:rsid w:val="69A099ED"/>
    <w:rsid w:val="69A82C69"/>
    <w:rsid w:val="69BE2F1D"/>
    <w:rsid w:val="69CC86A1"/>
    <w:rsid w:val="69F9DD5B"/>
    <w:rsid w:val="6A010596"/>
    <w:rsid w:val="6A22D236"/>
    <w:rsid w:val="6A33E8D7"/>
    <w:rsid w:val="6A5A01FF"/>
    <w:rsid w:val="6A5B89E0"/>
    <w:rsid w:val="6A8D76A9"/>
    <w:rsid w:val="6ACA9073"/>
    <w:rsid w:val="6AE46E03"/>
    <w:rsid w:val="6AF0D04C"/>
    <w:rsid w:val="6B034AE6"/>
    <w:rsid w:val="6B4AA535"/>
    <w:rsid w:val="6B60EE65"/>
    <w:rsid w:val="6B634DDD"/>
    <w:rsid w:val="6B6709F0"/>
    <w:rsid w:val="6B7FC11A"/>
    <w:rsid w:val="6BA2012F"/>
    <w:rsid w:val="6BBF0899"/>
    <w:rsid w:val="6BD0204F"/>
    <w:rsid w:val="6BD8A035"/>
    <w:rsid w:val="6C1E7297"/>
    <w:rsid w:val="6C4AA122"/>
    <w:rsid w:val="6C4F5AFE"/>
    <w:rsid w:val="6C513554"/>
    <w:rsid w:val="6C56B011"/>
    <w:rsid w:val="6C582EC2"/>
    <w:rsid w:val="6C5E181C"/>
    <w:rsid w:val="6C7F4BBE"/>
    <w:rsid w:val="6CA3325F"/>
    <w:rsid w:val="6CE94B0E"/>
    <w:rsid w:val="6D10CD37"/>
    <w:rsid w:val="6D2887A6"/>
    <w:rsid w:val="6D464C0D"/>
    <w:rsid w:val="6D4A238D"/>
    <w:rsid w:val="6D5E3D91"/>
    <w:rsid w:val="6D7A9E49"/>
    <w:rsid w:val="6D8A8BB4"/>
    <w:rsid w:val="6D91A2C1"/>
    <w:rsid w:val="6DC4CC40"/>
    <w:rsid w:val="6DD1DAE1"/>
    <w:rsid w:val="6DE0AE77"/>
    <w:rsid w:val="6DEAAA03"/>
    <w:rsid w:val="6DF28072"/>
    <w:rsid w:val="6E2B868B"/>
    <w:rsid w:val="6E4DE7CF"/>
    <w:rsid w:val="6E58323A"/>
    <w:rsid w:val="6E988F27"/>
    <w:rsid w:val="6E9E999F"/>
    <w:rsid w:val="6EAE289D"/>
    <w:rsid w:val="6ED5C97C"/>
    <w:rsid w:val="6ED6DD12"/>
    <w:rsid w:val="6EE5F3EE"/>
    <w:rsid w:val="6F0F8C8C"/>
    <w:rsid w:val="6F2B2846"/>
    <w:rsid w:val="6F302362"/>
    <w:rsid w:val="6F4EA5A6"/>
    <w:rsid w:val="6F52F201"/>
    <w:rsid w:val="6F5BBB9B"/>
    <w:rsid w:val="6F5F889B"/>
    <w:rsid w:val="6F6036B7"/>
    <w:rsid w:val="6F612CE4"/>
    <w:rsid w:val="6F67F0E9"/>
    <w:rsid w:val="6F862CDC"/>
    <w:rsid w:val="6FA34D94"/>
    <w:rsid w:val="6FBC503F"/>
    <w:rsid w:val="6FCC50DB"/>
    <w:rsid w:val="6FD189BF"/>
    <w:rsid w:val="6FD7BEFA"/>
    <w:rsid w:val="70181B2F"/>
    <w:rsid w:val="7028C293"/>
    <w:rsid w:val="702A791F"/>
    <w:rsid w:val="7043642C"/>
    <w:rsid w:val="7053D3F6"/>
    <w:rsid w:val="7056FC74"/>
    <w:rsid w:val="70664C9F"/>
    <w:rsid w:val="7073753A"/>
    <w:rsid w:val="70768947"/>
    <w:rsid w:val="70961541"/>
    <w:rsid w:val="709742AD"/>
    <w:rsid w:val="70A8C613"/>
    <w:rsid w:val="70D8E86D"/>
    <w:rsid w:val="70EA7607"/>
    <w:rsid w:val="70EA7EC1"/>
    <w:rsid w:val="70F3A6D5"/>
    <w:rsid w:val="70FDF111"/>
    <w:rsid w:val="710022A7"/>
    <w:rsid w:val="711C4B59"/>
    <w:rsid w:val="71332F6A"/>
    <w:rsid w:val="71599C8C"/>
    <w:rsid w:val="716C7C33"/>
    <w:rsid w:val="71738651"/>
    <w:rsid w:val="71794A05"/>
    <w:rsid w:val="718B6C06"/>
    <w:rsid w:val="719F5B44"/>
    <w:rsid w:val="71AC4627"/>
    <w:rsid w:val="71D02FE9"/>
    <w:rsid w:val="71E43E5A"/>
    <w:rsid w:val="71F7CC79"/>
    <w:rsid w:val="71FD66B7"/>
    <w:rsid w:val="720F3A6B"/>
    <w:rsid w:val="7231AEB4"/>
    <w:rsid w:val="723293BA"/>
    <w:rsid w:val="72599386"/>
    <w:rsid w:val="726D2190"/>
    <w:rsid w:val="727D6856"/>
    <w:rsid w:val="72A2C7C9"/>
    <w:rsid w:val="73480F23"/>
    <w:rsid w:val="73515D6F"/>
    <w:rsid w:val="7360E0FE"/>
    <w:rsid w:val="736A7FA8"/>
    <w:rsid w:val="7381DC6E"/>
    <w:rsid w:val="73869F94"/>
    <w:rsid w:val="738F539D"/>
    <w:rsid w:val="73939CDA"/>
    <w:rsid w:val="739C2301"/>
    <w:rsid w:val="73A0B45E"/>
    <w:rsid w:val="73A2D3B6"/>
    <w:rsid w:val="73BCE5FB"/>
    <w:rsid w:val="73C21E76"/>
    <w:rsid w:val="73DD44E3"/>
    <w:rsid w:val="73E4542A"/>
    <w:rsid w:val="73EF0764"/>
    <w:rsid w:val="73FEC81D"/>
    <w:rsid w:val="7408D3F3"/>
    <w:rsid w:val="742216C9"/>
    <w:rsid w:val="74346D61"/>
    <w:rsid w:val="74383B32"/>
    <w:rsid w:val="743E982A"/>
    <w:rsid w:val="7457C087"/>
    <w:rsid w:val="745FCDD5"/>
    <w:rsid w:val="747DB0F7"/>
    <w:rsid w:val="74AFDEEE"/>
    <w:rsid w:val="74B79AAB"/>
    <w:rsid w:val="74B82012"/>
    <w:rsid w:val="74B945D0"/>
    <w:rsid w:val="74CA7AFD"/>
    <w:rsid w:val="74F4B2C6"/>
    <w:rsid w:val="752F6D3B"/>
    <w:rsid w:val="7547DCD1"/>
    <w:rsid w:val="75646D73"/>
    <w:rsid w:val="757DD8AD"/>
    <w:rsid w:val="759EADDA"/>
    <w:rsid w:val="75A3F293"/>
    <w:rsid w:val="75A9B2DE"/>
    <w:rsid w:val="75AA0A18"/>
    <w:rsid w:val="75BDE72A"/>
    <w:rsid w:val="75D10443"/>
    <w:rsid w:val="75F390E8"/>
    <w:rsid w:val="75FFBE17"/>
    <w:rsid w:val="761B167B"/>
    <w:rsid w:val="762C03E2"/>
    <w:rsid w:val="762E8B7E"/>
    <w:rsid w:val="764553A7"/>
    <w:rsid w:val="7647D1B7"/>
    <w:rsid w:val="7694656C"/>
    <w:rsid w:val="76B1542F"/>
    <w:rsid w:val="76C6342C"/>
    <w:rsid w:val="76D6A9E1"/>
    <w:rsid w:val="77034CA3"/>
    <w:rsid w:val="770AEB9C"/>
    <w:rsid w:val="77180797"/>
    <w:rsid w:val="772BCBEF"/>
    <w:rsid w:val="77587270"/>
    <w:rsid w:val="775A3D39"/>
    <w:rsid w:val="777E9FDD"/>
    <w:rsid w:val="778010F3"/>
    <w:rsid w:val="7791B560"/>
    <w:rsid w:val="779CF3F9"/>
    <w:rsid w:val="779FD549"/>
    <w:rsid w:val="77BAC28A"/>
    <w:rsid w:val="77C4D240"/>
    <w:rsid w:val="77D32948"/>
    <w:rsid w:val="77FE768D"/>
    <w:rsid w:val="782A6D58"/>
    <w:rsid w:val="78438580"/>
    <w:rsid w:val="78460999"/>
    <w:rsid w:val="787370D5"/>
    <w:rsid w:val="78992A1E"/>
    <w:rsid w:val="789B6549"/>
    <w:rsid w:val="78B52702"/>
    <w:rsid w:val="78E1BFD9"/>
    <w:rsid w:val="792F7DF3"/>
    <w:rsid w:val="794EB50F"/>
    <w:rsid w:val="79783399"/>
    <w:rsid w:val="79820580"/>
    <w:rsid w:val="79C63DB9"/>
    <w:rsid w:val="79E54A93"/>
    <w:rsid w:val="79F51978"/>
    <w:rsid w:val="79FE3CE9"/>
    <w:rsid w:val="7A02FE7E"/>
    <w:rsid w:val="7A4F6A40"/>
    <w:rsid w:val="7A4FA859"/>
    <w:rsid w:val="7A70BD41"/>
    <w:rsid w:val="7A98EAC9"/>
    <w:rsid w:val="7AA0CB8E"/>
    <w:rsid w:val="7AAD6C1F"/>
    <w:rsid w:val="7ADAF589"/>
    <w:rsid w:val="7B07FCEB"/>
    <w:rsid w:val="7B1E310F"/>
    <w:rsid w:val="7B305C4E"/>
    <w:rsid w:val="7B4AC018"/>
    <w:rsid w:val="7B4F5FBB"/>
    <w:rsid w:val="7B7AEB59"/>
    <w:rsid w:val="7B9E4FFC"/>
    <w:rsid w:val="7BB53113"/>
    <w:rsid w:val="7BE6688F"/>
    <w:rsid w:val="7BEAF994"/>
    <w:rsid w:val="7C10EFC0"/>
    <w:rsid w:val="7C5E1AB6"/>
    <w:rsid w:val="7C7774E8"/>
    <w:rsid w:val="7C77C643"/>
    <w:rsid w:val="7C79944B"/>
    <w:rsid w:val="7C8496B0"/>
    <w:rsid w:val="7C9016C3"/>
    <w:rsid w:val="7C911C66"/>
    <w:rsid w:val="7C9B9E9C"/>
    <w:rsid w:val="7CAA099A"/>
    <w:rsid w:val="7CCC53ED"/>
    <w:rsid w:val="7CDBDE87"/>
    <w:rsid w:val="7CDE8087"/>
    <w:rsid w:val="7D0B1AEA"/>
    <w:rsid w:val="7D6E20BE"/>
    <w:rsid w:val="7DC54C77"/>
    <w:rsid w:val="7DFB48CE"/>
    <w:rsid w:val="7E22AFA7"/>
    <w:rsid w:val="7E306C57"/>
    <w:rsid w:val="7E3354FB"/>
    <w:rsid w:val="7E38A9D9"/>
    <w:rsid w:val="7E605344"/>
    <w:rsid w:val="7E7D2252"/>
    <w:rsid w:val="7EAFFD87"/>
    <w:rsid w:val="7EC1AA48"/>
    <w:rsid w:val="7ED64F81"/>
    <w:rsid w:val="7EE37185"/>
    <w:rsid w:val="7EECBCB8"/>
    <w:rsid w:val="7F025DB5"/>
    <w:rsid w:val="7F09F11F"/>
    <w:rsid w:val="7F188734"/>
    <w:rsid w:val="7F1F870A"/>
    <w:rsid w:val="7F4B577F"/>
    <w:rsid w:val="7F601DF1"/>
    <w:rsid w:val="7F793F70"/>
    <w:rsid w:val="7F8AC8AE"/>
    <w:rsid w:val="7FA0C9B5"/>
    <w:rsid w:val="7FA4749D"/>
    <w:rsid w:val="7FCEC6BB"/>
    <w:rsid w:val="7FDC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1F79F"/>
  <w15:docId w15:val="{02222D86-EEAC-46A3-BB5A-712A9666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paragraph" w:styleId="Nadpis3">
    <w:name w:val="heading 3"/>
    <w:basedOn w:val="Normln"/>
    <w:next w:val="Normln"/>
    <w:link w:val="Nadpis3Char"/>
    <w:uiPriority w:val="9"/>
    <w:semiHidden/>
    <w:unhideWhenUsed/>
    <w:qFormat/>
    <w:rsid w:val="00E5338E"/>
    <w:pPr>
      <w:keepNext/>
      <w:keepLines/>
      <w:spacing w:before="40"/>
      <w:outlineLvl w:val="2"/>
    </w:pPr>
    <w:rPr>
      <w:rFonts w:asciiTheme="majorHAnsi" w:eastAsiaTheme="majorEastAsia" w:hAnsiTheme="majorHAnsi" w:cstheme="majorBidi"/>
      <w:color w:val="0F1B32"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007C1420"/>
    <w:rPr>
      <w:sz w:val="20"/>
      <w:szCs w:val="20"/>
    </w:rPr>
  </w:style>
  <w:style w:type="character" w:customStyle="1" w:styleId="TextkomenteChar">
    <w:name w:val="Text komentáře Char"/>
    <w:basedOn w:val="Standardnpsmoodstavce"/>
    <w:link w:val="Textkomente"/>
    <w:uiPriority w:val="99"/>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paragraph" w:styleId="Textpoznpodarou">
    <w:name w:val="footnote text"/>
    <w:basedOn w:val="Normln"/>
    <w:link w:val="TextpoznpodarouChar"/>
    <w:uiPriority w:val="99"/>
    <w:rsid w:val="00D43EBE"/>
    <w:rPr>
      <w:sz w:val="20"/>
      <w:szCs w:val="20"/>
    </w:rPr>
  </w:style>
  <w:style w:type="character" w:customStyle="1" w:styleId="TextpoznpodarouChar">
    <w:name w:val="Text pozn. pod čarou Char"/>
    <w:basedOn w:val="Standardnpsmoodstavce"/>
    <w:link w:val="Textpoznpodarou"/>
    <w:uiPriority w:val="99"/>
    <w:rsid w:val="00D43EBE"/>
    <w:rPr>
      <w:rFonts w:ascii="Times New Roman" w:eastAsia="Times New Roman" w:hAnsi="Times New Roman" w:cs="Times New Roman"/>
      <w:sz w:val="20"/>
      <w:szCs w:val="20"/>
      <w:lang w:eastAsia="en-US"/>
    </w:rPr>
  </w:style>
  <w:style w:type="character" w:styleId="Znakapoznpodarou">
    <w:name w:val="footnote reference"/>
    <w:uiPriority w:val="99"/>
    <w:rsid w:val="00D43EBE"/>
    <w:rPr>
      <w:vertAlign w:val="superscript"/>
    </w:rPr>
  </w:style>
  <w:style w:type="paragraph" w:styleId="Odstavecseseznamem">
    <w:name w:val="List Paragraph"/>
    <w:basedOn w:val="Normln"/>
    <w:uiPriority w:val="34"/>
    <w:qFormat/>
    <w:rsid w:val="007678F4"/>
    <w:pPr>
      <w:ind w:left="720"/>
    </w:pPr>
    <w:rPr>
      <w:rFonts w:ascii="Calibri" w:eastAsiaTheme="minorHAnsi" w:hAnsi="Calibri" w:cs="Calibri"/>
      <w:sz w:val="22"/>
      <w:szCs w:val="22"/>
      <w:lang w:val="cs-CZ"/>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search-term-highlight">
    <w:name w:val="search-term-highlight"/>
    <w:basedOn w:val="Standardnpsmoodstavce"/>
    <w:rsid w:val="007A4FA0"/>
  </w:style>
  <w:style w:type="character" w:styleId="Siln">
    <w:name w:val="Strong"/>
    <w:basedOn w:val="Standardnpsmoodstavce"/>
    <w:uiPriority w:val="22"/>
    <w:qFormat/>
    <w:rsid w:val="007A4FA0"/>
    <w:rPr>
      <w:b/>
      <w:bCs/>
    </w:rPr>
  </w:style>
  <w:style w:type="character" w:styleId="Zdraznn">
    <w:name w:val="Emphasis"/>
    <w:basedOn w:val="Standardnpsmoodstavce"/>
    <w:uiPriority w:val="20"/>
    <w:qFormat/>
    <w:rsid w:val="00E5338E"/>
    <w:rPr>
      <w:i/>
      <w:iCs/>
    </w:rPr>
  </w:style>
  <w:style w:type="character" w:customStyle="1" w:styleId="Nadpis3Char">
    <w:name w:val="Nadpis 3 Char"/>
    <w:basedOn w:val="Standardnpsmoodstavce"/>
    <w:link w:val="Nadpis3"/>
    <w:uiPriority w:val="9"/>
    <w:semiHidden/>
    <w:rsid w:val="00E5338E"/>
    <w:rPr>
      <w:rFonts w:asciiTheme="majorHAnsi" w:eastAsiaTheme="majorEastAsia" w:hAnsiTheme="majorHAnsi" w:cstheme="majorBidi"/>
      <w:color w:val="0F1B32" w:themeColor="accent1" w:themeShade="7F"/>
      <w:sz w:val="24"/>
      <w:szCs w:val="24"/>
      <w:lang w:eastAsia="en-US"/>
    </w:rPr>
  </w:style>
  <w:style w:type="paragraph" w:customStyle="1" w:styleId="paragraph">
    <w:name w:val="paragraph"/>
    <w:basedOn w:val="Normln"/>
    <w:rsid w:val="004F5891"/>
    <w:pPr>
      <w:spacing w:before="100" w:beforeAutospacing="1" w:after="100" w:afterAutospacing="1"/>
    </w:pPr>
    <w:rPr>
      <w:lang w:val="cs-CZ" w:eastAsia="cs-CZ"/>
    </w:rPr>
  </w:style>
  <w:style w:type="character" w:customStyle="1" w:styleId="spellingerror">
    <w:name w:val="spellingerror"/>
    <w:basedOn w:val="Standardnpsmoodstavce"/>
    <w:rsid w:val="004F5891"/>
  </w:style>
  <w:style w:type="character" w:customStyle="1" w:styleId="scxw106638316">
    <w:name w:val="scxw106638316"/>
    <w:basedOn w:val="Standardnpsmoodstavce"/>
    <w:rsid w:val="004F5891"/>
  </w:style>
  <w:style w:type="character" w:customStyle="1" w:styleId="eop">
    <w:name w:val="eop"/>
    <w:basedOn w:val="Standardnpsmoodstavce"/>
    <w:rsid w:val="004F5891"/>
  </w:style>
  <w:style w:type="character" w:customStyle="1" w:styleId="tabchar">
    <w:name w:val="tabchar"/>
    <w:basedOn w:val="Standardnpsmoodstavce"/>
    <w:rsid w:val="004F5891"/>
  </w:style>
  <w:style w:type="character" w:styleId="Nevyeenzmnka">
    <w:name w:val="Unresolved Mention"/>
    <w:basedOn w:val="Standardnpsmoodstavce"/>
    <w:uiPriority w:val="99"/>
    <w:semiHidden/>
    <w:unhideWhenUsed/>
    <w:rsid w:val="00301975"/>
    <w:rPr>
      <w:color w:val="605E5C"/>
      <w:shd w:val="clear" w:color="auto" w:fill="E1DFDD"/>
    </w:rPr>
  </w:style>
  <w:style w:type="character" w:styleId="Sledovanodkaz">
    <w:name w:val="FollowedHyperlink"/>
    <w:basedOn w:val="Standardnpsmoodstavce"/>
    <w:uiPriority w:val="99"/>
    <w:semiHidden/>
    <w:unhideWhenUsed/>
    <w:rsid w:val="00AB5429"/>
    <w:rPr>
      <w:color w:val="CAD1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855">
      <w:bodyDiv w:val="1"/>
      <w:marLeft w:val="0"/>
      <w:marRight w:val="0"/>
      <w:marTop w:val="0"/>
      <w:marBottom w:val="0"/>
      <w:divBdr>
        <w:top w:val="none" w:sz="0" w:space="0" w:color="auto"/>
        <w:left w:val="none" w:sz="0" w:space="0" w:color="auto"/>
        <w:bottom w:val="none" w:sz="0" w:space="0" w:color="auto"/>
        <w:right w:val="none" w:sz="0" w:space="0" w:color="auto"/>
      </w:divBdr>
      <w:divsChild>
        <w:div w:id="906652836">
          <w:marLeft w:val="0"/>
          <w:marRight w:val="0"/>
          <w:marTop w:val="0"/>
          <w:marBottom w:val="0"/>
          <w:divBdr>
            <w:top w:val="none" w:sz="0" w:space="0" w:color="auto"/>
            <w:left w:val="none" w:sz="0" w:space="0" w:color="auto"/>
            <w:bottom w:val="none" w:sz="0" w:space="0" w:color="auto"/>
            <w:right w:val="none" w:sz="0" w:space="0" w:color="auto"/>
          </w:divBdr>
          <w:divsChild>
            <w:div w:id="1907645204">
              <w:marLeft w:val="-75"/>
              <w:marRight w:val="0"/>
              <w:marTop w:val="30"/>
              <w:marBottom w:val="30"/>
              <w:divBdr>
                <w:top w:val="none" w:sz="0" w:space="0" w:color="auto"/>
                <w:left w:val="none" w:sz="0" w:space="0" w:color="auto"/>
                <w:bottom w:val="none" w:sz="0" w:space="0" w:color="auto"/>
                <w:right w:val="none" w:sz="0" w:space="0" w:color="auto"/>
              </w:divBdr>
              <w:divsChild>
                <w:div w:id="397291159">
                  <w:marLeft w:val="0"/>
                  <w:marRight w:val="0"/>
                  <w:marTop w:val="0"/>
                  <w:marBottom w:val="0"/>
                  <w:divBdr>
                    <w:top w:val="none" w:sz="0" w:space="0" w:color="auto"/>
                    <w:left w:val="none" w:sz="0" w:space="0" w:color="auto"/>
                    <w:bottom w:val="none" w:sz="0" w:space="0" w:color="auto"/>
                    <w:right w:val="none" w:sz="0" w:space="0" w:color="auto"/>
                  </w:divBdr>
                  <w:divsChild>
                    <w:div w:id="1654483562">
                      <w:marLeft w:val="0"/>
                      <w:marRight w:val="0"/>
                      <w:marTop w:val="0"/>
                      <w:marBottom w:val="0"/>
                      <w:divBdr>
                        <w:top w:val="none" w:sz="0" w:space="0" w:color="auto"/>
                        <w:left w:val="none" w:sz="0" w:space="0" w:color="auto"/>
                        <w:bottom w:val="none" w:sz="0" w:space="0" w:color="auto"/>
                        <w:right w:val="none" w:sz="0" w:space="0" w:color="auto"/>
                      </w:divBdr>
                    </w:div>
                  </w:divsChild>
                </w:div>
                <w:div w:id="214851553">
                  <w:marLeft w:val="0"/>
                  <w:marRight w:val="0"/>
                  <w:marTop w:val="0"/>
                  <w:marBottom w:val="0"/>
                  <w:divBdr>
                    <w:top w:val="none" w:sz="0" w:space="0" w:color="auto"/>
                    <w:left w:val="none" w:sz="0" w:space="0" w:color="auto"/>
                    <w:bottom w:val="none" w:sz="0" w:space="0" w:color="auto"/>
                    <w:right w:val="none" w:sz="0" w:space="0" w:color="auto"/>
                  </w:divBdr>
                  <w:divsChild>
                    <w:div w:id="2095927739">
                      <w:marLeft w:val="0"/>
                      <w:marRight w:val="0"/>
                      <w:marTop w:val="0"/>
                      <w:marBottom w:val="0"/>
                      <w:divBdr>
                        <w:top w:val="none" w:sz="0" w:space="0" w:color="auto"/>
                        <w:left w:val="none" w:sz="0" w:space="0" w:color="auto"/>
                        <w:bottom w:val="none" w:sz="0" w:space="0" w:color="auto"/>
                        <w:right w:val="none" w:sz="0" w:space="0" w:color="auto"/>
                      </w:divBdr>
                    </w:div>
                  </w:divsChild>
                </w:div>
                <w:div w:id="1996301079">
                  <w:marLeft w:val="0"/>
                  <w:marRight w:val="0"/>
                  <w:marTop w:val="0"/>
                  <w:marBottom w:val="0"/>
                  <w:divBdr>
                    <w:top w:val="none" w:sz="0" w:space="0" w:color="auto"/>
                    <w:left w:val="none" w:sz="0" w:space="0" w:color="auto"/>
                    <w:bottom w:val="none" w:sz="0" w:space="0" w:color="auto"/>
                    <w:right w:val="none" w:sz="0" w:space="0" w:color="auto"/>
                  </w:divBdr>
                  <w:divsChild>
                    <w:div w:id="1544714065">
                      <w:marLeft w:val="0"/>
                      <w:marRight w:val="0"/>
                      <w:marTop w:val="0"/>
                      <w:marBottom w:val="0"/>
                      <w:divBdr>
                        <w:top w:val="none" w:sz="0" w:space="0" w:color="auto"/>
                        <w:left w:val="none" w:sz="0" w:space="0" w:color="auto"/>
                        <w:bottom w:val="none" w:sz="0" w:space="0" w:color="auto"/>
                        <w:right w:val="none" w:sz="0" w:space="0" w:color="auto"/>
                      </w:divBdr>
                    </w:div>
                  </w:divsChild>
                </w:div>
                <w:div w:id="24209902">
                  <w:marLeft w:val="0"/>
                  <w:marRight w:val="0"/>
                  <w:marTop w:val="0"/>
                  <w:marBottom w:val="0"/>
                  <w:divBdr>
                    <w:top w:val="none" w:sz="0" w:space="0" w:color="auto"/>
                    <w:left w:val="none" w:sz="0" w:space="0" w:color="auto"/>
                    <w:bottom w:val="none" w:sz="0" w:space="0" w:color="auto"/>
                    <w:right w:val="none" w:sz="0" w:space="0" w:color="auto"/>
                  </w:divBdr>
                  <w:divsChild>
                    <w:div w:id="785346544">
                      <w:marLeft w:val="0"/>
                      <w:marRight w:val="0"/>
                      <w:marTop w:val="0"/>
                      <w:marBottom w:val="0"/>
                      <w:divBdr>
                        <w:top w:val="none" w:sz="0" w:space="0" w:color="auto"/>
                        <w:left w:val="none" w:sz="0" w:space="0" w:color="auto"/>
                        <w:bottom w:val="none" w:sz="0" w:space="0" w:color="auto"/>
                        <w:right w:val="none" w:sz="0" w:space="0" w:color="auto"/>
                      </w:divBdr>
                    </w:div>
                  </w:divsChild>
                </w:div>
                <w:div w:id="247931564">
                  <w:marLeft w:val="0"/>
                  <w:marRight w:val="0"/>
                  <w:marTop w:val="0"/>
                  <w:marBottom w:val="0"/>
                  <w:divBdr>
                    <w:top w:val="none" w:sz="0" w:space="0" w:color="auto"/>
                    <w:left w:val="none" w:sz="0" w:space="0" w:color="auto"/>
                    <w:bottom w:val="none" w:sz="0" w:space="0" w:color="auto"/>
                    <w:right w:val="none" w:sz="0" w:space="0" w:color="auto"/>
                  </w:divBdr>
                  <w:divsChild>
                    <w:div w:id="154146251">
                      <w:marLeft w:val="0"/>
                      <w:marRight w:val="0"/>
                      <w:marTop w:val="0"/>
                      <w:marBottom w:val="0"/>
                      <w:divBdr>
                        <w:top w:val="none" w:sz="0" w:space="0" w:color="auto"/>
                        <w:left w:val="none" w:sz="0" w:space="0" w:color="auto"/>
                        <w:bottom w:val="none" w:sz="0" w:space="0" w:color="auto"/>
                        <w:right w:val="none" w:sz="0" w:space="0" w:color="auto"/>
                      </w:divBdr>
                    </w:div>
                  </w:divsChild>
                </w:div>
                <w:div w:id="1826193347">
                  <w:marLeft w:val="0"/>
                  <w:marRight w:val="0"/>
                  <w:marTop w:val="0"/>
                  <w:marBottom w:val="0"/>
                  <w:divBdr>
                    <w:top w:val="none" w:sz="0" w:space="0" w:color="auto"/>
                    <w:left w:val="none" w:sz="0" w:space="0" w:color="auto"/>
                    <w:bottom w:val="none" w:sz="0" w:space="0" w:color="auto"/>
                    <w:right w:val="none" w:sz="0" w:space="0" w:color="auto"/>
                  </w:divBdr>
                  <w:divsChild>
                    <w:div w:id="647055391">
                      <w:marLeft w:val="0"/>
                      <w:marRight w:val="0"/>
                      <w:marTop w:val="0"/>
                      <w:marBottom w:val="0"/>
                      <w:divBdr>
                        <w:top w:val="none" w:sz="0" w:space="0" w:color="auto"/>
                        <w:left w:val="none" w:sz="0" w:space="0" w:color="auto"/>
                        <w:bottom w:val="none" w:sz="0" w:space="0" w:color="auto"/>
                        <w:right w:val="none" w:sz="0" w:space="0" w:color="auto"/>
                      </w:divBdr>
                    </w:div>
                  </w:divsChild>
                </w:div>
                <w:div w:id="982075790">
                  <w:marLeft w:val="0"/>
                  <w:marRight w:val="0"/>
                  <w:marTop w:val="0"/>
                  <w:marBottom w:val="0"/>
                  <w:divBdr>
                    <w:top w:val="none" w:sz="0" w:space="0" w:color="auto"/>
                    <w:left w:val="none" w:sz="0" w:space="0" w:color="auto"/>
                    <w:bottom w:val="none" w:sz="0" w:space="0" w:color="auto"/>
                    <w:right w:val="none" w:sz="0" w:space="0" w:color="auto"/>
                  </w:divBdr>
                  <w:divsChild>
                    <w:div w:id="405802250">
                      <w:marLeft w:val="0"/>
                      <w:marRight w:val="0"/>
                      <w:marTop w:val="0"/>
                      <w:marBottom w:val="0"/>
                      <w:divBdr>
                        <w:top w:val="none" w:sz="0" w:space="0" w:color="auto"/>
                        <w:left w:val="none" w:sz="0" w:space="0" w:color="auto"/>
                        <w:bottom w:val="none" w:sz="0" w:space="0" w:color="auto"/>
                        <w:right w:val="none" w:sz="0" w:space="0" w:color="auto"/>
                      </w:divBdr>
                    </w:div>
                  </w:divsChild>
                </w:div>
                <w:div w:id="1840076314">
                  <w:marLeft w:val="0"/>
                  <w:marRight w:val="0"/>
                  <w:marTop w:val="0"/>
                  <w:marBottom w:val="0"/>
                  <w:divBdr>
                    <w:top w:val="none" w:sz="0" w:space="0" w:color="auto"/>
                    <w:left w:val="none" w:sz="0" w:space="0" w:color="auto"/>
                    <w:bottom w:val="none" w:sz="0" w:space="0" w:color="auto"/>
                    <w:right w:val="none" w:sz="0" w:space="0" w:color="auto"/>
                  </w:divBdr>
                  <w:divsChild>
                    <w:div w:id="1907836776">
                      <w:marLeft w:val="0"/>
                      <w:marRight w:val="0"/>
                      <w:marTop w:val="0"/>
                      <w:marBottom w:val="0"/>
                      <w:divBdr>
                        <w:top w:val="none" w:sz="0" w:space="0" w:color="auto"/>
                        <w:left w:val="none" w:sz="0" w:space="0" w:color="auto"/>
                        <w:bottom w:val="none" w:sz="0" w:space="0" w:color="auto"/>
                        <w:right w:val="none" w:sz="0" w:space="0" w:color="auto"/>
                      </w:divBdr>
                    </w:div>
                  </w:divsChild>
                </w:div>
                <w:div w:id="253518156">
                  <w:marLeft w:val="0"/>
                  <w:marRight w:val="0"/>
                  <w:marTop w:val="0"/>
                  <w:marBottom w:val="0"/>
                  <w:divBdr>
                    <w:top w:val="none" w:sz="0" w:space="0" w:color="auto"/>
                    <w:left w:val="none" w:sz="0" w:space="0" w:color="auto"/>
                    <w:bottom w:val="none" w:sz="0" w:space="0" w:color="auto"/>
                    <w:right w:val="none" w:sz="0" w:space="0" w:color="auto"/>
                  </w:divBdr>
                  <w:divsChild>
                    <w:div w:id="1194073194">
                      <w:marLeft w:val="0"/>
                      <w:marRight w:val="0"/>
                      <w:marTop w:val="0"/>
                      <w:marBottom w:val="0"/>
                      <w:divBdr>
                        <w:top w:val="none" w:sz="0" w:space="0" w:color="auto"/>
                        <w:left w:val="none" w:sz="0" w:space="0" w:color="auto"/>
                        <w:bottom w:val="none" w:sz="0" w:space="0" w:color="auto"/>
                        <w:right w:val="none" w:sz="0" w:space="0" w:color="auto"/>
                      </w:divBdr>
                    </w:div>
                  </w:divsChild>
                </w:div>
                <w:div w:id="1529371251">
                  <w:marLeft w:val="0"/>
                  <w:marRight w:val="0"/>
                  <w:marTop w:val="0"/>
                  <w:marBottom w:val="0"/>
                  <w:divBdr>
                    <w:top w:val="none" w:sz="0" w:space="0" w:color="auto"/>
                    <w:left w:val="none" w:sz="0" w:space="0" w:color="auto"/>
                    <w:bottom w:val="none" w:sz="0" w:space="0" w:color="auto"/>
                    <w:right w:val="none" w:sz="0" w:space="0" w:color="auto"/>
                  </w:divBdr>
                  <w:divsChild>
                    <w:div w:id="1058212363">
                      <w:marLeft w:val="0"/>
                      <w:marRight w:val="0"/>
                      <w:marTop w:val="0"/>
                      <w:marBottom w:val="0"/>
                      <w:divBdr>
                        <w:top w:val="none" w:sz="0" w:space="0" w:color="auto"/>
                        <w:left w:val="none" w:sz="0" w:space="0" w:color="auto"/>
                        <w:bottom w:val="none" w:sz="0" w:space="0" w:color="auto"/>
                        <w:right w:val="none" w:sz="0" w:space="0" w:color="auto"/>
                      </w:divBdr>
                    </w:div>
                  </w:divsChild>
                </w:div>
                <w:div w:id="138307776">
                  <w:marLeft w:val="0"/>
                  <w:marRight w:val="0"/>
                  <w:marTop w:val="0"/>
                  <w:marBottom w:val="0"/>
                  <w:divBdr>
                    <w:top w:val="none" w:sz="0" w:space="0" w:color="auto"/>
                    <w:left w:val="none" w:sz="0" w:space="0" w:color="auto"/>
                    <w:bottom w:val="none" w:sz="0" w:space="0" w:color="auto"/>
                    <w:right w:val="none" w:sz="0" w:space="0" w:color="auto"/>
                  </w:divBdr>
                  <w:divsChild>
                    <w:div w:id="553393921">
                      <w:marLeft w:val="0"/>
                      <w:marRight w:val="0"/>
                      <w:marTop w:val="0"/>
                      <w:marBottom w:val="0"/>
                      <w:divBdr>
                        <w:top w:val="none" w:sz="0" w:space="0" w:color="auto"/>
                        <w:left w:val="none" w:sz="0" w:space="0" w:color="auto"/>
                        <w:bottom w:val="none" w:sz="0" w:space="0" w:color="auto"/>
                        <w:right w:val="none" w:sz="0" w:space="0" w:color="auto"/>
                      </w:divBdr>
                    </w:div>
                  </w:divsChild>
                </w:div>
                <w:div w:id="2071228081">
                  <w:marLeft w:val="0"/>
                  <w:marRight w:val="0"/>
                  <w:marTop w:val="0"/>
                  <w:marBottom w:val="0"/>
                  <w:divBdr>
                    <w:top w:val="none" w:sz="0" w:space="0" w:color="auto"/>
                    <w:left w:val="none" w:sz="0" w:space="0" w:color="auto"/>
                    <w:bottom w:val="none" w:sz="0" w:space="0" w:color="auto"/>
                    <w:right w:val="none" w:sz="0" w:space="0" w:color="auto"/>
                  </w:divBdr>
                  <w:divsChild>
                    <w:div w:id="790586555">
                      <w:marLeft w:val="0"/>
                      <w:marRight w:val="0"/>
                      <w:marTop w:val="0"/>
                      <w:marBottom w:val="0"/>
                      <w:divBdr>
                        <w:top w:val="none" w:sz="0" w:space="0" w:color="auto"/>
                        <w:left w:val="none" w:sz="0" w:space="0" w:color="auto"/>
                        <w:bottom w:val="none" w:sz="0" w:space="0" w:color="auto"/>
                        <w:right w:val="none" w:sz="0" w:space="0" w:color="auto"/>
                      </w:divBdr>
                    </w:div>
                  </w:divsChild>
                </w:div>
                <w:div w:id="1890994424">
                  <w:marLeft w:val="0"/>
                  <w:marRight w:val="0"/>
                  <w:marTop w:val="0"/>
                  <w:marBottom w:val="0"/>
                  <w:divBdr>
                    <w:top w:val="none" w:sz="0" w:space="0" w:color="auto"/>
                    <w:left w:val="none" w:sz="0" w:space="0" w:color="auto"/>
                    <w:bottom w:val="none" w:sz="0" w:space="0" w:color="auto"/>
                    <w:right w:val="none" w:sz="0" w:space="0" w:color="auto"/>
                  </w:divBdr>
                  <w:divsChild>
                    <w:div w:id="470750993">
                      <w:marLeft w:val="0"/>
                      <w:marRight w:val="0"/>
                      <w:marTop w:val="0"/>
                      <w:marBottom w:val="0"/>
                      <w:divBdr>
                        <w:top w:val="none" w:sz="0" w:space="0" w:color="auto"/>
                        <w:left w:val="none" w:sz="0" w:space="0" w:color="auto"/>
                        <w:bottom w:val="none" w:sz="0" w:space="0" w:color="auto"/>
                        <w:right w:val="none" w:sz="0" w:space="0" w:color="auto"/>
                      </w:divBdr>
                    </w:div>
                  </w:divsChild>
                </w:div>
                <w:div w:id="1626690231">
                  <w:marLeft w:val="0"/>
                  <w:marRight w:val="0"/>
                  <w:marTop w:val="0"/>
                  <w:marBottom w:val="0"/>
                  <w:divBdr>
                    <w:top w:val="none" w:sz="0" w:space="0" w:color="auto"/>
                    <w:left w:val="none" w:sz="0" w:space="0" w:color="auto"/>
                    <w:bottom w:val="none" w:sz="0" w:space="0" w:color="auto"/>
                    <w:right w:val="none" w:sz="0" w:space="0" w:color="auto"/>
                  </w:divBdr>
                  <w:divsChild>
                    <w:div w:id="1889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97152">
          <w:marLeft w:val="0"/>
          <w:marRight w:val="0"/>
          <w:marTop w:val="0"/>
          <w:marBottom w:val="0"/>
          <w:divBdr>
            <w:top w:val="none" w:sz="0" w:space="0" w:color="auto"/>
            <w:left w:val="none" w:sz="0" w:space="0" w:color="auto"/>
            <w:bottom w:val="none" w:sz="0" w:space="0" w:color="auto"/>
            <w:right w:val="none" w:sz="0" w:space="0" w:color="auto"/>
          </w:divBdr>
        </w:div>
        <w:div w:id="317535922">
          <w:marLeft w:val="0"/>
          <w:marRight w:val="0"/>
          <w:marTop w:val="0"/>
          <w:marBottom w:val="0"/>
          <w:divBdr>
            <w:top w:val="none" w:sz="0" w:space="0" w:color="auto"/>
            <w:left w:val="none" w:sz="0" w:space="0" w:color="auto"/>
            <w:bottom w:val="none" w:sz="0" w:space="0" w:color="auto"/>
            <w:right w:val="none" w:sz="0" w:space="0" w:color="auto"/>
          </w:divBdr>
        </w:div>
        <w:div w:id="1684159792">
          <w:marLeft w:val="0"/>
          <w:marRight w:val="0"/>
          <w:marTop w:val="0"/>
          <w:marBottom w:val="0"/>
          <w:divBdr>
            <w:top w:val="none" w:sz="0" w:space="0" w:color="auto"/>
            <w:left w:val="none" w:sz="0" w:space="0" w:color="auto"/>
            <w:bottom w:val="none" w:sz="0" w:space="0" w:color="auto"/>
            <w:right w:val="none" w:sz="0" w:space="0" w:color="auto"/>
          </w:divBdr>
        </w:div>
        <w:div w:id="1844588652">
          <w:marLeft w:val="0"/>
          <w:marRight w:val="0"/>
          <w:marTop w:val="0"/>
          <w:marBottom w:val="0"/>
          <w:divBdr>
            <w:top w:val="none" w:sz="0" w:space="0" w:color="auto"/>
            <w:left w:val="none" w:sz="0" w:space="0" w:color="auto"/>
            <w:bottom w:val="none" w:sz="0" w:space="0" w:color="auto"/>
            <w:right w:val="none" w:sz="0" w:space="0" w:color="auto"/>
          </w:divBdr>
        </w:div>
        <w:div w:id="797527855">
          <w:marLeft w:val="0"/>
          <w:marRight w:val="0"/>
          <w:marTop w:val="0"/>
          <w:marBottom w:val="0"/>
          <w:divBdr>
            <w:top w:val="none" w:sz="0" w:space="0" w:color="auto"/>
            <w:left w:val="none" w:sz="0" w:space="0" w:color="auto"/>
            <w:bottom w:val="none" w:sz="0" w:space="0" w:color="auto"/>
            <w:right w:val="none" w:sz="0" w:space="0" w:color="auto"/>
          </w:divBdr>
        </w:div>
        <w:div w:id="1437866998">
          <w:marLeft w:val="0"/>
          <w:marRight w:val="0"/>
          <w:marTop w:val="0"/>
          <w:marBottom w:val="0"/>
          <w:divBdr>
            <w:top w:val="none" w:sz="0" w:space="0" w:color="auto"/>
            <w:left w:val="none" w:sz="0" w:space="0" w:color="auto"/>
            <w:bottom w:val="none" w:sz="0" w:space="0" w:color="auto"/>
            <w:right w:val="none" w:sz="0" w:space="0" w:color="auto"/>
          </w:divBdr>
        </w:div>
        <w:div w:id="1263611467">
          <w:marLeft w:val="0"/>
          <w:marRight w:val="0"/>
          <w:marTop w:val="0"/>
          <w:marBottom w:val="0"/>
          <w:divBdr>
            <w:top w:val="none" w:sz="0" w:space="0" w:color="auto"/>
            <w:left w:val="none" w:sz="0" w:space="0" w:color="auto"/>
            <w:bottom w:val="none" w:sz="0" w:space="0" w:color="auto"/>
            <w:right w:val="none" w:sz="0" w:space="0" w:color="auto"/>
          </w:divBdr>
        </w:div>
      </w:divsChild>
    </w:div>
    <w:div w:id="11500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cadkova@crestcom.cz" TargetMode="External"/><Relationship Id="rId13" Type="http://schemas.openxmlformats.org/officeDocument/2006/relationships/hyperlink" Target="https://www.instagram.com/cbre_cz/"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linkedin.com/company/3585825?trk=tyah&amp;trkInfo=clickedVertical%253Acompany%252Cidx%253A1-1-1%252CtarId%253A1431360641868%252Ctas%253Acbre%2520czech%22%20\t%20%22_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ges/CBRE-News/626929170775263?ref=ts&amp;fref=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ana.prochazkova@cbre.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restcom.cz/" TargetMode="External"/><Relationship Id="rId14" Type="http://schemas.openxmlformats.org/officeDocument/2006/relationships/hyperlink" Target="http://www.cbr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A1213-7AF9-4F09-87C2-2FC845AE8B89}">
  <ds:schemaRefs>
    <ds:schemaRef ds:uri="http://schemas.openxmlformats.org/officeDocument/2006/bibliography"/>
  </ds:schemaRefs>
</ds:datastoreItem>
</file>

<file path=customXml/itemProps2.xml><?xml version="1.0" encoding="utf-8"?>
<ds:datastoreItem xmlns:ds="http://schemas.openxmlformats.org/officeDocument/2006/customXml" ds:itemID="{CA360771-9CF3-4EC5-A185-0E413C3E49EF}"/>
</file>

<file path=customXml/itemProps3.xml><?xml version="1.0" encoding="utf-8"?>
<ds:datastoreItem xmlns:ds="http://schemas.openxmlformats.org/officeDocument/2006/customXml" ds:itemID="{21EA40D4-849B-45C1-AB50-258EB234C268}"/>
</file>

<file path=customXml/itemProps4.xml><?xml version="1.0" encoding="utf-8"?>
<ds:datastoreItem xmlns:ds="http://schemas.openxmlformats.org/officeDocument/2006/customXml" ds:itemID="{DE8E8088-8EBB-4E81-A921-E66A14F0714A}"/>
</file>

<file path=docMetadata/LabelInfo.xml><?xml version="1.0" encoding="utf-8"?>
<clbl:labelList xmlns:clbl="http://schemas.microsoft.com/office/2020/mipLabelMetadata">
  <clbl:label id="{0159e9d0-09a0-4edf-96ba-a3deea363c28}" enabled="0" method="" siteId="{0159e9d0-09a0-4edf-96ba-a3deea363c28}" removed="1"/>
</clbl:labelList>
</file>

<file path=docProps/app.xml><?xml version="1.0" encoding="utf-8"?>
<Properties xmlns="http://schemas.openxmlformats.org/officeDocument/2006/extended-properties" xmlns:vt="http://schemas.openxmlformats.org/officeDocument/2006/docPropsVTypes">
  <Template>2021_press_release_template</Template>
  <TotalTime>6</TotalTime>
  <Pages>4</Pages>
  <Words>1859</Words>
  <Characters>10972</Characters>
  <Application>Microsoft Office Word</Application>
  <DocSecurity>0</DocSecurity>
  <Lines>91</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CBRE</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Denisa Kolaříková</cp:lastModifiedBy>
  <cp:revision>4</cp:revision>
  <cp:lastPrinted>2021-12-10T16:10:00Z</cp:lastPrinted>
  <dcterms:created xsi:type="dcterms:W3CDTF">2023-12-08T13:52:00Z</dcterms:created>
  <dcterms:modified xsi:type="dcterms:W3CDTF">2023-12-08T14:18:00Z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79582bb07378187fef09e399b31e6724a7085e025b4626669094dd50a9e9af3f</vt:lpwstr>
  </property>
  <property fmtid="{D5CDD505-2E9C-101B-9397-08002B2CF9AE}" pid="3" name="ContentTypeId">
    <vt:lpwstr>0x010100D037425BC85BAC47A18BE758018E6255</vt:lpwstr>
  </property>
</Properties>
</file>