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06780" w14:textId="54A12A2B" w:rsidR="00DF492B" w:rsidRPr="00AA166A" w:rsidRDefault="0030763F" w:rsidP="00CE21A1">
      <w:pPr>
        <w:pStyle w:val="Headline"/>
        <w:rPr>
          <w:lang w:val="cs-CZ"/>
        </w:rPr>
      </w:pPr>
      <w:bookmarkStart w:id="0" w:name="_Hlk120870042"/>
      <w:r w:rsidRPr="00AA166A">
        <w:rPr>
          <w:lang w:val="cs-CZ"/>
        </w:rPr>
        <w:t>Co čeká trh komerčních realit</w:t>
      </w:r>
      <w:r w:rsidR="00CE21A1" w:rsidRPr="00AA166A">
        <w:rPr>
          <w:lang w:val="cs-CZ"/>
        </w:rPr>
        <w:t xml:space="preserve"> v roce 2024</w:t>
      </w:r>
      <w:r w:rsidRPr="00AA166A">
        <w:rPr>
          <w:lang w:val="cs-CZ"/>
        </w:rPr>
        <w:t>? CBRE při</w:t>
      </w:r>
      <w:r w:rsidR="00CE21A1" w:rsidRPr="00AA166A">
        <w:rPr>
          <w:lang w:val="cs-CZ"/>
        </w:rPr>
        <w:t xml:space="preserve">chází s rozsáhlou </w:t>
      </w:r>
      <w:r w:rsidR="0044510D" w:rsidRPr="00AA166A">
        <w:rPr>
          <w:lang w:val="cs-CZ"/>
        </w:rPr>
        <w:t>prognózo</w:t>
      </w:r>
      <w:r w:rsidR="00CE21A1" w:rsidRPr="00AA166A">
        <w:rPr>
          <w:lang w:val="cs-CZ"/>
        </w:rPr>
        <w:t>u</w:t>
      </w:r>
    </w:p>
    <w:bookmarkEnd w:id="0"/>
    <w:p w14:paraId="552A1DA4" w14:textId="170E2192" w:rsidR="00CE21A1" w:rsidRPr="00AA166A" w:rsidRDefault="00C104A3" w:rsidP="00A5320F">
      <w:pPr>
        <w:rPr>
          <w:color w:val="425254" w:themeColor="text1"/>
          <w:lang w:val="cs-CZ"/>
        </w:rPr>
      </w:pPr>
      <w:r w:rsidRPr="00AA166A">
        <w:rPr>
          <w:b/>
          <w:color w:val="425254" w:themeColor="text1"/>
          <w:lang w:val="en-GB"/>
        </w:rPr>
        <w:br/>
      </w:r>
      <w:r w:rsidR="00A5320F" w:rsidRPr="00AA166A">
        <w:rPr>
          <w:b/>
          <w:bCs/>
          <w:color w:val="425254" w:themeColor="text1"/>
          <w:lang w:val="cs-CZ"/>
        </w:rPr>
        <w:t>Praha - 13. prosince 2023</w:t>
      </w:r>
      <w:r w:rsidR="00A5320F" w:rsidRPr="00AA166A">
        <w:rPr>
          <w:color w:val="425254" w:themeColor="text1"/>
          <w:lang w:val="cs-CZ"/>
        </w:rPr>
        <w:t xml:space="preserve"> - Společnost CBRE, světový lídr v oblasti komerčních realitních služeb, shrnuje letošní vývoj na </w:t>
      </w:r>
      <w:r w:rsidR="0030763F" w:rsidRPr="00AA166A">
        <w:rPr>
          <w:color w:val="425254" w:themeColor="text1"/>
          <w:lang w:val="cs-CZ"/>
        </w:rPr>
        <w:t>tuzemském</w:t>
      </w:r>
      <w:r w:rsidR="00A5320F" w:rsidRPr="00AA166A">
        <w:rPr>
          <w:color w:val="425254" w:themeColor="text1"/>
          <w:lang w:val="cs-CZ"/>
        </w:rPr>
        <w:t xml:space="preserve"> trhu komerčních nemovitostí a přináší výhled na </w:t>
      </w:r>
      <w:r w:rsidR="00CE21A1" w:rsidRPr="00AA166A">
        <w:rPr>
          <w:color w:val="425254" w:themeColor="text1"/>
          <w:lang w:val="cs-CZ"/>
        </w:rPr>
        <w:t>následujících dvanáct měsíců</w:t>
      </w:r>
      <w:r w:rsidR="00A5320F" w:rsidRPr="00AA166A">
        <w:rPr>
          <w:color w:val="425254" w:themeColor="text1"/>
          <w:lang w:val="cs-CZ"/>
        </w:rPr>
        <w:t>.</w:t>
      </w:r>
      <w:r w:rsidR="00CE21A1" w:rsidRPr="00AA166A">
        <w:rPr>
          <w:color w:val="425254" w:themeColor="text1"/>
          <w:lang w:val="cs-CZ"/>
        </w:rPr>
        <w:t xml:space="preserve"> Jaký potenciál má současná makro-ekonomická situace ovlivnit investorskou aktivitu? A jak</w:t>
      </w:r>
      <w:r w:rsidR="0044510D" w:rsidRPr="00AA166A">
        <w:rPr>
          <w:color w:val="425254" w:themeColor="text1"/>
          <w:lang w:val="cs-CZ"/>
        </w:rPr>
        <w:t xml:space="preserve"> konkrétně se promítne </w:t>
      </w:r>
      <w:r w:rsidR="00285CF9" w:rsidRPr="00AA166A">
        <w:rPr>
          <w:color w:val="425254" w:themeColor="text1"/>
          <w:lang w:val="cs-CZ"/>
        </w:rPr>
        <w:t>do</w:t>
      </w:r>
      <w:r w:rsidR="00CE21A1" w:rsidRPr="00AA166A">
        <w:rPr>
          <w:color w:val="425254" w:themeColor="text1"/>
          <w:lang w:val="cs-CZ"/>
        </w:rPr>
        <w:t xml:space="preserve"> jednotlivých se</w:t>
      </w:r>
      <w:r w:rsidR="0044510D" w:rsidRPr="00AA166A">
        <w:rPr>
          <w:color w:val="425254" w:themeColor="text1"/>
          <w:lang w:val="cs-CZ"/>
        </w:rPr>
        <w:t>gmentů</w:t>
      </w:r>
      <w:r w:rsidR="00CE21A1" w:rsidRPr="00AA166A">
        <w:rPr>
          <w:color w:val="425254" w:themeColor="text1"/>
          <w:lang w:val="cs-CZ"/>
        </w:rPr>
        <w:t xml:space="preserve"> od kanceláří přes industriální a logistické parky až po retailové nemovitosti? To vše odhaluje </w:t>
      </w:r>
      <w:r w:rsidR="004A3E0F" w:rsidRPr="00AA166A">
        <w:rPr>
          <w:color w:val="425254" w:themeColor="text1"/>
          <w:lang w:val="cs-CZ"/>
        </w:rPr>
        <w:t xml:space="preserve">aktuální </w:t>
      </w:r>
      <w:r w:rsidR="0044510D" w:rsidRPr="00AA166A">
        <w:rPr>
          <w:color w:val="425254" w:themeColor="text1"/>
          <w:lang w:val="cs-CZ"/>
        </w:rPr>
        <w:t>analýza CBRE.</w:t>
      </w:r>
    </w:p>
    <w:p w14:paraId="1D8813F8" w14:textId="77777777" w:rsidR="0030763F" w:rsidRPr="00AA166A" w:rsidRDefault="0030763F" w:rsidP="00A5320F">
      <w:pPr>
        <w:rPr>
          <w:color w:val="425254" w:themeColor="text1"/>
          <w:lang w:val="cs-CZ"/>
        </w:rPr>
      </w:pPr>
    </w:p>
    <w:p w14:paraId="2908A037" w14:textId="04E49812" w:rsidR="004B5606" w:rsidRPr="00AA166A" w:rsidRDefault="00A5320F" w:rsidP="00490E9C">
      <w:pPr>
        <w:rPr>
          <w:i/>
          <w:iCs/>
          <w:color w:val="425254" w:themeColor="text1"/>
          <w:lang w:val="cs-CZ"/>
        </w:rPr>
      </w:pPr>
      <w:proofErr w:type="spellStart"/>
      <w:r w:rsidRPr="00AA166A">
        <w:rPr>
          <w:b/>
          <w:bCs/>
          <w:color w:val="425254" w:themeColor="text1"/>
          <w:lang w:val="cs-CZ"/>
        </w:rPr>
        <w:t>Clare</w:t>
      </w:r>
      <w:proofErr w:type="spellEnd"/>
      <w:r w:rsidRPr="00AA166A">
        <w:rPr>
          <w:b/>
          <w:bCs/>
          <w:color w:val="425254" w:themeColor="text1"/>
          <w:lang w:val="cs-CZ"/>
        </w:rPr>
        <w:t xml:space="preserve"> </w:t>
      </w:r>
      <w:proofErr w:type="spellStart"/>
      <w:r w:rsidRPr="00AA166A">
        <w:rPr>
          <w:b/>
          <w:bCs/>
          <w:color w:val="425254" w:themeColor="text1"/>
          <w:lang w:val="cs-CZ"/>
        </w:rPr>
        <w:t>Sheils</w:t>
      </w:r>
      <w:proofErr w:type="spellEnd"/>
      <w:r w:rsidRPr="00AA166A">
        <w:rPr>
          <w:b/>
          <w:bCs/>
          <w:color w:val="425254" w:themeColor="text1"/>
          <w:lang w:val="cs-CZ"/>
        </w:rPr>
        <w:t xml:space="preserve">, generální ředitelka CBRE </w:t>
      </w:r>
      <w:r w:rsidR="00711B4B" w:rsidRPr="00AA166A">
        <w:rPr>
          <w:b/>
          <w:bCs/>
          <w:color w:val="425254" w:themeColor="text1"/>
          <w:lang w:val="cs-CZ"/>
        </w:rPr>
        <w:t xml:space="preserve">pro </w:t>
      </w:r>
      <w:r w:rsidRPr="00AA166A">
        <w:rPr>
          <w:b/>
          <w:bCs/>
          <w:color w:val="425254" w:themeColor="text1"/>
          <w:lang w:val="cs-CZ"/>
        </w:rPr>
        <w:t>Česk</w:t>
      </w:r>
      <w:r w:rsidR="00711B4B" w:rsidRPr="00AA166A">
        <w:rPr>
          <w:b/>
          <w:bCs/>
          <w:color w:val="425254" w:themeColor="text1"/>
          <w:lang w:val="cs-CZ"/>
        </w:rPr>
        <w:t>ou</w:t>
      </w:r>
      <w:r w:rsidRPr="00AA166A">
        <w:rPr>
          <w:b/>
          <w:bCs/>
          <w:color w:val="425254" w:themeColor="text1"/>
          <w:lang w:val="cs-CZ"/>
        </w:rPr>
        <w:t xml:space="preserve"> republik</w:t>
      </w:r>
      <w:r w:rsidR="00711B4B" w:rsidRPr="00AA166A">
        <w:rPr>
          <w:b/>
          <w:bCs/>
          <w:color w:val="425254" w:themeColor="text1"/>
          <w:lang w:val="cs-CZ"/>
        </w:rPr>
        <w:t>u</w:t>
      </w:r>
      <w:r w:rsidRPr="00AA166A">
        <w:rPr>
          <w:color w:val="425254" w:themeColor="text1"/>
          <w:lang w:val="cs-CZ"/>
        </w:rPr>
        <w:t xml:space="preserve">, komentuje: </w:t>
      </w:r>
      <w:r w:rsidR="004A3E0F" w:rsidRPr="00AA166A">
        <w:rPr>
          <w:i/>
          <w:iCs/>
          <w:color w:val="425254" w:themeColor="text1"/>
          <w:lang w:val="cs-CZ"/>
        </w:rPr>
        <w:t>„</w:t>
      </w:r>
      <w:r w:rsidR="00490E9C" w:rsidRPr="00AA166A">
        <w:rPr>
          <w:i/>
          <w:iCs/>
          <w:color w:val="425254" w:themeColor="text1"/>
          <w:lang w:val="cs-CZ"/>
        </w:rPr>
        <w:t>Předpokládáme, že</w:t>
      </w:r>
      <w:r w:rsidR="00B53C72">
        <w:rPr>
          <w:i/>
          <w:iCs/>
          <w:color w:val="425254" w:themeColor="text1"/>
          <w:lang w:val="cs-CZ"/>
        </w:rPr>
        <w:t> </w:t>
      </w:r>
      <w:r w:rsidR="00490E9C" w:rsidRPr="00AA166A">
        <w:rPr>
          <w:i/>
          <w:iCs/>
          <w:color w:val="425254" w:themeColor="text1"/>
          <w:lang w:val="cs-CZ"/>
        </w:rPr>
        <w:t>v</w:t>
      </w:r>
      <w:r w:rsidR="00B53C72">
        <w:rPr>
          <w:i/>
          <w:iCs/>
          <w:color w:val="425254" w:themeColor="text1"/>
          <w:lang w:val="cs-CZ"/>
        </w:rPr>
        <w:t> </w:t>
      </w:r>
      <w:r w:rsidR="00490E9C" w:rsidRPr="00AA166A">
        <w:rPr>
          <w:i/>
          <w:iCs/>
          <w:color w:val="425254" w:themeColor="text1"/>
          <w:lang w:val="cs-CZ"/>
        </w:rPr>
        <w:t>roce</w:t>
      </w:r>
      <w:r w:rsidR="001F7D7A" w:rsidRPr="00AA166A">
        <w:rPr>
          <w:i/>
          <w:iCs/>
          <w:color w:val="425254" w:themeColor="text1"/>
          <w:lang w:val="cs-CZ"/>
        </w:rPr>
        <w:t xml:space="preserve"> 2024 </w:t>
      </w:r>
      <w:r w:rsidR="00490E9C" w:rsidRPr="00AA166A">
        <w:rPr>
          <w:i/>
          <w:iCs/>
          <w:color w:val="425254" w:themeColor="text1"/>
          <w:lang w:val="cs-CZ"/>
        </w:rPr>
        <w:t>dojde k posunu v</w:t>
      </w:r>
      <w:r w:rsidR="005A193C" w:rsidRPr="00AA166A">
        <w:rPr>
          <w:i/>
          <w:iCs/>
          <w:color w:val="425254" w:themeColor="text1"/>
          <w:lang w:val="cs-CZ"/>
        </w:rPr>
        <w:t> </w:t>
      </w:r>
      <w:r w:rsidR="00490E9C" w:rsidRPr="00AA166A">
        <w:rPr>
          <w:i/>
          <w:iCs/>
          <w:color w:val="425254" w:themeColor="text1"/>
          <w:lang w:val="cs-CZ"/>
        </w:rPr>
        <w:t>celkové</w:t>
      </w:r>
      <w:r w:rsidR="005A193C" w:rsidRPr="00AA166A">
        <w:rPr>
          <w:i/>
          <w:iCs/>
          <w:color w:val="425254" w:themeColor="text1"/>
          <w:lang w:val="cs-CZ"/>
        </w:rPr>
        <w:t xml:space="preserve"> percepci </w:t>
      </w:r>
      <w:r w:rsidR="00490E9C" w:rsidRPr="00AA166A">
        <w:rPr>
          <w:i/>
          <w:iCs/>
          <w:color w:val="425254" w:themeColor="text1"/>
          <w:lang w:val="cs-CZ"/>
        </w:rPr>
        <w:t>trhu</w:t>
      </w:r>
      <w:r w:rsidR="00711B4B" w:rsidRPr="00AA166A">
        <w:rPr>
          <w:i/>
          <w:iCs/>
          <w:color w:val="425254" w:themeColor="text1"/>
          <w:lang w:val="cs-CZ"/>
        </w:rPr>
        <w:t>. Mn</w:t>
      </w:r>
      <w:r w:rsidR="004A3E0F" w:rsidRPr="00AA166A">
        <w:rPr>
          <w:i/>
          <w:iCs/>
          <w:color w:val="425254" w:themeColor="text1"/>
          <w:lang w:val="cs-CZ"/>
        </w:rPr>
        <w:t xml:space="preserve">ozí investoři a fondy </w:t>
      </w:r>
      <w:r w:rsidR="00711B4B" w:rsidRPr="00AA166A">
        <w:rPr>
          <w:i/>
          <w:iCs/>
          <w:color w:val="425254" w:themeColor="text1"/>
          <w:lang w:val="cs-CZ"/>
        </w:rPr>
        <w:t xml:space="preserve">začnou </w:t>
      </w:r>
      <w:r w:rsidR="005A193C" w:rsidRPr="00AA166A">
        <w:rPr>
          <w:i/>
          <w:iCs/>
          <w:color w:val="425254" w:themeColor="text1"/>
          <w:lang w:val="cs-CZ"/>
        </w:rPr>
        <w:t>vnímat spíše jeho</w:t>
      </w:r>
      <w:r w:rsidR="00490E9C" w:rsidRPr="00AA166A">
        <w:rPr>
          <w:i/>
          <w:iCs/>
          <w:color w:val="425254" w:themeColor="text1"/>
          <w:lang w:val="cs-CZ"/>
        </w:rPr>
        <w:t xml:space="preserve"> příležitost</w:t>
      </w:r>
      <w:r w:rsidR="005A193C" w:rsidRPr="00AA166A">
        <w:rPr>
          <w:i/>
          <w:iCs/>
          <w:color w:val="425254" w:themeColor="text1"/>
          <w:lang w:val="cs-CZ"/>
        </w:rPr>
        <w:t>i než překážky</w:t>
      </w:r>
      <w:r w:rsidR="00490E9C" w:rsidRPr="00AA166A">
        <w:rPr>
          <w:i/>
          <w:iCs/>
          <w:color w:val="425254" w:themeColor="text1"/>
          <w:lang w:val="cs-CZ"/>
        </w:rPr>
        <w:t xml:space="preserve">. </w:t>
      </w:r>
      <w:r w:rsidR="00856A53" w:rsidRPr="00AA166A">
        <w:rPr>
          <w:i/>
          <w:iCs/>
          <w:color w:val="425254" w:themeColor="text1"/>
          <w:lang w:val="cs-CZ"/>
        </w:rPr>
        <w:t>Z</w:t>
      </w:r>
      <w:r w:rsidR="00711B4B" w:rsidRPr="00AA166A">
        <w:rPr>
          <w:i/>
          <w:iCs/>
          <w:color w:val="425254" w:themeColor="text1"/>
          <w:lang w:val="cs-CZ"/>
        </w:rPr>
        <w:t>měna nálady</w:t>
      </w:r>
      <w:r w:rsidR="00856A53" w:rsidRPr="00AA166A">
        <w:rPr>
          <w:i/>
          <w:iCs/>
          <w:color w:val="425254" w:themeColor="text1"/>
          <w:lang w:val="cs-CZ"/>
        </w:rPr>
        <w:t xml:space="preserve"> bude</w:t>
      </w:r>
      <w:r w:rsidR="00711B4B" w:rsidRPr="00AA166A">
        <w:rPr>
          <w:i/>
          <w:iCs/>
          <w:color w:val="425254" w:themeColor="text1"/>
          <w:lang w:val="cs-CZ"/>
        </w:rPr>
        <w:t xml:space="preserve"> patrná </w:t>
      </w:r>
      <w:r w:rsidR="00856A53" w:rsidRPr="00AA166A">
        <w:rPr>
          <w:i/>
          <w:iCs/>
          <w:color w:val="425254" w:themeColor="text1"/>
          <w:lang w:val="cs-CZ"/>
        </w:rPr>
        <w:t>zejména</w:t>
      </w:r>
      <w:r w:rsidR="00711B4B" w:rsidRPr="00AA166A">
        <w:rPr>
          <w:i/>
          <w:iCs/>
          <w:color w:val="425254" w:themeColor="text1"/>
          <w:lang w:val="cs-CZ"/>
        </w:rPr>
        <w:t xml:space="preserve"> v druhé polovině roku</w:t>
      </w:r>
      <w:r w:rsidR="00AA166A">
        <w:rPr>
          <w:i/>
          <w:iCs/>
          <w:color w:val="425254" w:themeColor="text1"/>
          <w:lang w:val="cs-CZ"/>
        </w:rPr>
        <w:t>, která ř</w:t>
      </w:r>
      <w:r w:rsidR="005C3435" w:rsidRPr="00AA166A">
        <w:rPr>
          <w:i/>
          <w:iCs/>
          <w:color w:val="425254" w:themeColor="text1"/>
          <w:lang w:val="cs-CZ"/>
        </w:rPr>
        <w:t>adě</w:t>
      </w:r>
      <w:r w:rsidR="00711B4B" w:rsidRPr="00AA166A">
        <w:rPr>
          <w:i/>
          <w:iCs/>
          <w:color w:val="425254" w:themeColor="text1"/>
          <w:lang w:val="cs-CZ"/>
        </w:rPr>
        <w:t xml:space="preserve"> aktérů na realitním trhu </w:t>
      </w:r>
      <w:r w:rsidR="005C3435" w:rsidRPr="00AA166A">
        <w:rPr>
          <w:i/>
          <w:iCs/>
          <w:color w:val="425254" w:themeColor="text1"/>
          <w:lang w:val="cs-CZ"/>
        </w:rPr>
        <w:t xml:space="preserve">přinese </w:t>
      </w:r>
      <w:r w:rsidR="005A193C" w:rsidRPr="00AA166A">
        <w:rPr>
          <w:i/>
          <w:iCs/>
          <w:color w:val="425254" w:themeColor="text1"/>
          <w:lang w:val="cs-CZ"/>
        </w:rPr>
        <w:t>příležitosti k růstu</w:t>
      </w:r>
      <w:r w:rsidR="005C3435" w:rsidRPr="00AA166A">
        <w:rPr>
          <w:i/>
          <w:iCs/>
          <w:color w:val="425254" w:themeColor="text1"/>
          <w:lang w:val="cs-CZ"/>
        </w:rPr>
        <w:t xml:space="preserve"> </w:t>
      </w:r>
      <w:r w:rsidR="005A193C" w:rsidRPr="00AA166A">
        <w:rPr>
          <w:i/>
          <w:iCs/>
          <w:color w:val="425254" w:themeColor="text1"/>
          <w:lang w:val="cs-CZ"/>
        </w:rPr>
        <w:t>i</w:t>
      </w:r>
      <w:r w:rsidR="005C3435" w:rsidRPr="00AA166A">
        <w:rPr>
          <w:i/>
          <w:iCs/>
          <w:color w:val="425254" w:themeColor="text1"/>
          <w:lang w:val="cs-CZ"/>
        </w:rPr>
        <w:t xml:space="preserve"> zvýšení ziskovosti</w:t>
      </w:r>
      <w:r w:rsidR="00711B4B" w:rsidRPr="00AA166A">
        <w:rPr>
          <w:i/>
          <w:iCs/>
          <w:color w:val="425254" w:themeColor="text1"/>
          <w:lang w:val="cs-CZ"/>
        </w:rPr>
        <w:t>.</w:t>
      </w:r>
      <w:r w:rsidR="005C3435" w:rsidRPr="00AA166A">
        <w:rPr>
          <w:i/>
          <w:iCs/>
          <w:color w:val="425254" w:themeColor="text1"/>
          <w:lang w:val="cs-CZ"/>
        </w:rPr>
        <w:t xml:space="preserve"> Současně s tím bude </w:t>
      </w:r>
      <w:r w:rsidR="00804558" w:rsidRPr="00AA166A">
        <w:rPr>
          <w:i/>
          <w:iCs/>
          <w:color w:val="425254" w:themeColor="text1"/>
          <w:lang w:val="cs-CZ"/>
        </w:rPr>
        <w:t>sílit důraz na</w:t>
      </w:r>
      <w:r w:rsidR="00B53C72">
        <w:rPr>
          <w:i/>
          <w:iCs/>
          <w:color w:val="425254" w:themeColor="text1"/>
          <w:lang w:val="cs-CZ"/>
        </w:rPr>
        <w:t> </w:t>
      </w:r>
      <w:r w:rsidR="00804558" w:rsidRPr="00AA166A">
        <w:rPr>
          <w:i/>
          <w:iCs/>
          <w:color w:val="425254" w:themeColor="text1"/>
          <w:lang w:val="cs-CZ"/>
        </w:rPr>
        <w:t>udržitelnost. P</w:t>
      </w:r>
      <w:r w:rsidR="00490E9C" w:rsidRPr="00AA166A">
        <w:rPr>
          <w:i/>
          <w:iCs/>
          <w:color w:val="425254" w:themeColor="text1"/>
          <w:lang w:val="cs-CZ"/>
        </w:rPr>
        <w:t xml:space="preserve">ro majitele komerčních nemovitostí </w:t>
      </w:r>
      <w:r w:rsidR="00804558" w:rsidRPr="00AA166A">
        <w:rPr>
          <w:i/>
          <w:iCs/>
          <w:color w:val="425254" w:themeColor="text1"/>
          <w:lang w:val="cs-CZ"/>
        </w:rPr>
        <w:t xml:space="preserve">je </w:t>
      </w:r>
      <w:r w:rsidR="00490E9C" w:rsidRPr="00AA166A">
        <w:rPr>
          <w:i/>
          <w:iCs/>
          <w:color w:val="425254" w:themeColor="text1"/>
          <w:lang w:val="cs-CZ"/>
        </w:rPr>
        <w:t>stál</w:t>
      </w:r>
      <w:r w:rsidR="004B5606" w:rsidRPr="00AA166A">
        <w:rPr>
          <w:i/>
          <w:iCs/>
          <w:color w:val="425254" w:themeColor="text1"/>
          <w:lang w:val="cs-CZ"/>
        </w:rPr>
        <w:t xml:space="preserve">e </w:t>
      </w:r>
      <w:r w:rsidR="005A193C" w:rsidRPr="00AA166A">
        <w:rPr>
          <w:i/>
          <w:iCs/>
          <w:color w:val="425254" w:themeColor="text1"/>
          <w:lang w:val="cs-CZ"/>
        </w:rPr>
        <w:t>zásadnější</w:t>
      </w:r>
      <w:r w:rsidR="00490E9C" w:rsidRPr="00AA166A">
        <w:rPr>
          <w:i/>
          <w:iCs/>
          <w:color w:val="425254" w:themeColor="text1"/>
          <w:lang w:val="cs-CZ"/>
        </w:rPr>
        <w:t xml:space="preserve"> </w:t>
      </w:r>
      <w:r w:rsidR="005C3435" w:rsidRPr="00AA166A">
        <w:rPr>
          <w:i/>
          <w:iCs/>
          <w:color w:val="425254" w:themeColor="text1"/>
          <w:lang w:val="cs-CZ"/>
        </w:rPr>
        <w:t>po</w:t>
      </w:r>
      <w:r w:rsidR="00490E9C" w:rsidRPr="00AA166A">
        <w:rPr>
          <w:i/>
          <w:iCs/>
          <w:color w:val="425254" w:themeColor="text1"/>
          <w:lang w:val="cs-CZ"/>
        </w:rPr>
        <w:t xml:space="preserve">rozumět potenciálnímu </w:t>
      </w:r>
      <w:r w:rsidR="005C3435" w:rsidRPr="00AA166A">
        <w:rPr>
          <w:i/>
          <w:iCs/>
          <w:color w:val="425254" w:themeColor="text1"/>
          <w:lang w:val="cs-CZ"/>
        </w:rPr>
        <w:t>dopadu</w:t>
      </w:r>
      <w:r w:rsidR="00490E9C" w:rsidRPr="00AA166A">
        <w:rPr>
          <w:i/>
          <w:iCs/>
          <w:color w:val="425254" w:themeColor="text1"/>
          <w:lang w:val="cs-CZ"/>
        </w:rPr>
        <w:t xml:space="preserve"> ESG faktorů</w:t>
      </w:r>
      <w:r w:rsidR="005C3435" w:rsidRPr="00AA166A">
        <w:rPr>
          <w:i/>
          <w:iCs/>
          <w:color w:val="425254" w:themeColor="text1"/>
          <w:lang w:val="cs-CZ"/>
        </w:rPr>
        <w:t>, jako jsou</w:t>
      </w:r>
      <w:r w:rsidR="00194618" w:rsidRPr="00AA166A">
        <w:rPr>
          <w:i/>
          <w:iCs/>
          <w:color w:val="425254" w:themeColor="text1"/>
          <w:lang w:val="cs-CZ"/>
        </w:rPr>
        <w:t xml:space="preserve"> </w:t>
      </w:r>
      <w:r w:rsidR="005C3435" w:rsidRPr="00AA166A">
        <w:rPr>
          <w:i/>
          <w:iCs/>
          <w:color w:val="425254" w:themeColor="text1"/>
          <w:lang w:val="cs-CZ"/>
        </w:rPr>
        <w:t>energetická efektivita, uhlíková stopa</w:t>
      </w:r>
      <w:r w:rsidR="00194618" w:rsidRPr="00AA166A">
        <w:rPr>
          <w:i/>
          <w:iCs/>
          <w:color w:val="425254" w:themeColor="text1"/>
          <w:lang w:val="cs-CZ"/>
        </w:rPr>
        <w:t xml:space="preserve">, </w:t>
      </w:r>
      <w:r w:rsidR="00856A53" w:rsidRPr="00AA166A">
        <w:rPr>
          <w:i/>
          <w:iCs/>
          <w:color w:val="425254" w:themeColor="text1"/>
          <w:lang w:val="cs-CZ"/>
        </w:rPr>
        <w:t xml:space="preserve">společenský </w:t>
      </w:r>
      <w:r w:rsidR="005C3435" w:rsidRPr="00AA166A">
        <w:rPr>
          <w:i/>
          <w:iCs/>
          <w:color w:val="425254" w:themeColor="text1"/>
          <w:lang w:val="cs-CZ"/>
        </w:rPr>
        <w:t>vliv</w:t>
      </w:r>
      <w:r w:rsidR="00194618" w:rsidRPr="00AA166A">
        <w:rPr>
          <w:i/>
          <w:iCs/>
          <w:color w:val="425254" w:themeColor="text1"/>
          <w:lang w:val="cs-CZ"/>
        </w:rPr>
        <w:t xml:space="preserve"> či etické obchodní postupy</w:t>
      </w:r>
      <w:r w:rsidR="005C3435" w:rsidRPr="00AA166A">
        <w:rPr>
          <w:i/>
          <w:iCs/>
          <w:color w:val="425254" w:themeColor="text1"/>
          <w:lang w:val="cs-CZ"/>
        </w:rPr>
        <w:t xml:space="preserve">, </w:t>
      </w:r>
      <w:r w:rsidR="00490E9C" w:rsidRPr="00AA166A">
        <w:rPr>
          <w:i/>
          <w:iCs/>
          <w:color w:val="425254" w:themeColor="text1"/>
          <w:lang w:val="cs-CZ"/>
        </w:rPr>
        <w:t>na</w:t>
      </w:r>
      <w:r w:rsidR="005C3435" w:rsidRPr="00AA166A">
        <w:rPr>
          <w:i/>
          <w:iCs/>
          <w:color w:val="425254" w:themeColor="text1"/>
          <w:lang w:val="cs-CZ"/>
        </w:rPr>
        <w:t xml:space="preserve"> hodnotu</w:t>
      </w:r>
      <w:r w:rsidR="00490E9C" w:rsidRPr="00AA166A">
        <w:rPr>
          <w:i/>
          <w:iCs/>
          <w:color w:val="425254" w:themeColor="text1"/>
          <w:lang w:val="cs-CZ"/>
        </w:rPr>
        <w:t xml:space="preserve"> </w:t>
      </w:r>
      <w:r w:rsidR="00285CF9" w:rsidRPr="00AA166A">
        <w:rPr>
          <w:i/>
          <w:iCs/>
          <w:color w:val="425254" w:themeColor="text1"/>
          <w:lang w:val="cs-CZ"/>
        </w:rPr>
        <w:t xml:space="preserve">jejich </w:t>
      </w:r>
      <w:r w:rsidR="00490E9C" w:rsidRPr="00AA166A">
        <w:rPr>
          <w:i/>
          <w:iCs/>
          <w:color w:val="425254" w:themeColor="text1"/>
          <w:lang w:val="cs-CZ"/>
        </w:rPr>
        <w:t>aktiv</w:t>
      </w:r>
      <w:r w:rsidR="005C3435" w:rsidRPr="00AA166A">
        <w:rPr>
          <w:i/>
          <w:iCs/>
          <w:color w:val="425254" w:themeColor="text1"/>
          <w:lang w:val="cs-CZ"/>
        </w:rPr>
        <w:t>.</w:t>
      </w:r>
      <w:r w:rsidR="00490E9C" w:rsidRPr="00AA166A">
        <w:rPr>
          <w:i/>
          <w:iCs/>
          <w:color w:val="425254" w:themeColor="text1"/>
          <w:lang w:val="cs-CZ"/>
        </w:rPr>
        <w:t xml:space="preserve"> </w:t>
      </w:r>
      <w:r w:rsidR="004B5606" w:rsidRPr="00AA166A">
        <w:rPr>
          <w:i/>
          <w:iCs/>
          <w:color w:val="425254" w:themeColor="text1"/>
          <w:lang w:val="cs-CZ"/>
        </w:rPr>
        <w:t>Proaktivním řešením těchto oblastí mohou</w:t>
      </w:r>
      <w:r w:rsidR="00804558" w:rsidRPr="00AA166A">
        <w:rPr>
          <w:i/>
          <w:iCs/>
          <w:color w:val="425254" w:themeColor="text1"/>
          <w:lang w:val="cs-CZ"/>
        </w:rPr>
        <w:t xml:space="preserve"> </w:t>
      </w:r>
      <w:r w:rsidR="004B5606" w:rsidRPr="00AA166A">
        <w:rPr>
          <w:i/>
          <w:iCs/>
          <w:color w:val="425254" w:themeColor="text1"/>
          <w:lang w:val="cs-CZ"/>
        </w:rPr>
        <w:t xml:space="preserve">zvýšit dlouhodobou hodnotu </w:t>
      </w:r>
      <w:r w:rsidR="00285CF9" w:rsidRPr="00AA166A">
        <w:rPr>
          <w:i/>
          <w:iCs/>
          <w:color w:val="425254" w:themeColor="text1"/>
          <w:lang w:val="cs-CZ"/>
        </w:rPr>
        <w:t xml:space="preserve">a </w:t>
      </w:r>
      <w:r w:rsidR="004B5606" w:rsidRPr="00AA166A">
        <w:rPr>
          <w:i/>
          <w:iCs/>
          <w:color w:val="425254" w:themeColor="text1"/>
          <w:lang w:val="cs-CZ"/>
        </w:rPr>
        <w:t>atraktivitu svých nemovitostí.“</w:t>
      </w:r>
    </w:p>
    <w:p w14:paraId="1201213D" w14:textId="77777777" w:rsidR="004A3E0F" w:rsidRPr="00AA166A" w:rsidRDefault="004A3E0F" w:rsidP="00A5320F">
      <w:pPr>
        <w:rPr>
          <w:color w:val="425254" w:themeColor="text1"/>
          <w:lang w:val="cs-CZ"/>
        </w:rPr>
      </w:pPr>
    </w:p>
    <w:p w14:paraId="418C46F5" w14:textId="6FE3CAC5" w:rsidR="00A5320F" w:rsidRPr="00AA166A" w:rsidRDefault="00A5320F" w:rsidP="00A5320F">
      <w:pPr>
        <w:pStyle w:val="BodyCopy"/>
        <w:rPr>
          <w:lang w:val="cs-CZ"/>
        </w:rPr>
      </w:pPr>
      <w:r w:rsidRPr="00AA166A">
        <w:rPr>
          <w:b/>
          <w:bCs/>
          <w:lang w:val="cs-CZ"/>
        </w:rPr>
        <w:t>Udržitelnost</w:t>
      </w:r>
      <w:r w:rsidR="00194618" w:rsidRPr="00AA166A">
        <w:rPr>
          <w:b/>
          <w:bCs/>
          <w:lang w:val="cs-CZ"/>
        </w:rPr>
        <w:t xml:space="preserve"> se posouvá od odborné diskuze ke skutečným činům</w:t>
      </w:r>
      <w:r w:rsidRPr="00AA166A">
        <w:rPr>
          <w:lang w:val="cs-CZ"/>
        </w:rPr>
        <w:t xml:space="preserve">  </w:t>
      </w:r>
    </w:p>
    <w:p w14:paraId="5F991A0C" w14:textId="0EA245F7" w:rsidR="00A5320F" w:rsidRPr="00AA166A" w:rsidRDefault="00A5320F" w:rsidP="00A5320F">
      <w:pPr>
        <w:pStyle w:val="BodyCopy"/>
        <w:rPr>
          <w:lang w:val="cs-CZ"/>
        </w:rPr>
      </w:pPr>
      <w:r w:rsidRPr="00AA166A">
        <w:rPr>
          <w:lang w:val="cs-CZ"/>
        </w:rPr>
        <w:t xml:space="preserve">Rostoucí zájem o certifikace </w:t>
      </w:r>
      <w:r w:rsidR="00804558" w:rsidRPr="00AA166A">
        <w:rPr>
          <w:lang w:val="cs-CZ"/>
        </w:rPr>
        <w:t xml:space="preserve">budov systémem </w:t>
      </w:r>
      <w:r w:rsidRPr="00AA166A">
        <w:rPr>
          <w:lang w:val="cs-CZ"/>
        </w:rPr>
        <w:t xml:space="preserve">BREEAM, LEED </w:t>
      </w:r>
      <w:r w:rsidR="00804558" w:rsidRPr="00AA166A">
        <w:rPr>
          <w:lang w:val="cs-CZ"/>
        </w:rPr>
        <w:t>a</w:t>
      </w:r>
      <w:r w:rsidRPr="00AA166A">
        <w:rPr>
          <w:lang w:val="cs-CZ"/>
        </w:rPr>
        <w:t xml:space="preserve">nebo WELL není jen </w:t>
      </w:r>
      <w:r w:rsidR="00AA166A">
        <w:rPr>
          <w:lang w:val="cs-CZ"/>
        </w:rPr>
        <w:t>dočasnou</w:t>
      </w:r>
      <w:r w:rsidR="00895D5A" w:rsidRPr="00AA166A">
        <w:rPr>
          <w:lang w:val="cs-CZ"/>
        </w:rPr>
        <w:t xml:space="preserve"> záležitostí,</w:t>
      </w:r>
      <w:r w:rsidRPr="00AA166A">
        <w:rPr>
          <w:lang w:val="cs-CZ"/>
        </w:rPr>
        <w:t xml:space="preserve"> ale neustále se rozšiřující</w:t>
      </w:r>
      <w:r w:rsidR="00895D5A" w:rsidRPr="00AA166A">
        <w:rPr>
          <w:lang w:val="cs-CZ"/>
        </w:rPr>
        <w:t>m trendem</w:t>
      </w:r>
      <w:r w:rsidRPr="00AA166A">
        <w:rPr>
          <w:lang w:val="cs-CZ"/>
        </w:rPr>
        <w:t xml:space="preserve"> v rámci </w:t>
      </w:r>
      <w:r w:rsidR="00804558" w:rsidRPr="00AA166A">
        <w:rPr>
          <w:lang w:val="cs-CZ"/>
        </w:rPr>
        <w:t>odpovědného investování</w:t>
      </w:r>
      <w:r w:rsidRPr="00AA166A">
        <w:rPr>
          <w:lang w:val="cs-CZ"/>
        </w:rPr>
        <w:t xml:space="preserve">. Společnosti si postupně uvědomují hmatatelné výhody, </w:t>
      </w:r>
      <w:r w:rsidR="00AA166A">
        <w:rPr>
          <w:lang w:val="cs-CZ"/>
        </w:rPr>
        <w:t>které</w:t>
      </w:r>
      <w:r w:rsidR="00804558" w:rsidRPr="00AA166A">
        <w:rPr>
          <w:lang w:val="cs-CZ"/>
        </w:rPr>
        <w:t xml:space="preserve"> jim</w:t>
      </w:r>
      <w:r w:rsidRPr="00AA166A">
        <w:rPr>
          <w:lang w:val="cs-CZ"/>
        </w:rPr>
        <w:t xml:space="preserve"> tyto certifikace přinášejí, pokud jde o efektivitu nákladů a dopad na životní prostředí. V důsledku toho poptávka po těchto službách </w:t>
      </w:r>
      <w:r w:rsidR="00804558" w:rsidRPr="00AA166A">
        <w:rPr>
          <w:lang w:val="cs-CZ"/>
        </w:rPr>
        <w:t>se</w:t>
      </w:r>
      <w:r w:rsidRPr="00AA166A">
        <w:rPr>
          <w:lang w:val="cs-CZ"/>
        </w:rPr>
        <w:t>trvale roste.</w:t>
      </w:r>
    </w:p>
    <w:p w14:paraId="0B4B1582" w14:textId="77777777" w:rsidR="00A02B6E" w:rsidRPr="00AA166A" w:rsidRDefault="00A02B6E" w:rsidP="006C6044">
      <w:pPr>
        <w:pStyle w:val="BodyCopy"/>
        <w:rPr>
          <w:lang w:val="en-GB"/>
        </w:rPr>
      </w:pPr>
    </w:p>
    <w:p w14:paraId="637C19F2" w14:textId="20A8CF3B" w:rsidR="00C036D8" w:rsidRPr="00AA166A" w:rsidRDefault="00804558" w:rsidP="006C6044">
      <w:pPr>
        <w:pStyle w:val="BodyCopy"/>
        <w:rPr>
          <w:lang w:val="cs-CZ"/>
        </w:rPr>
      </w:pPr>
      <w:r w:rsidRPr="00AA166A">
        <w:rPr>
          <w:lang w:val="cs-CZ"/>
        </w:rPr>
        <w:t>D</w:t>
      </w:r>
      <w:r w:rsidR="00A5320F" w:rsidRPr="00AA166A">
        <w:rPr>
          <w:lang w:val="cs-CZ"/>
        </w:rPr>
        <w:t>alší</w:t>
      </w:r>
      <w:r w:rsidR="00895D5A" w:rsidRPr="00AA166A">
        <w:rPr>
          <w:lang w:val="cs-CZ"/>
        </w:rPr>
        <w:t xml:space="preserve"> </w:t>
      </w:r>
      <w:r w:rsidR="000E173B" w:rsidRPr="00AA166A">
        <w:rPr>
          <w:lang w:val="cs-CZ"/>
        </w:rPr>
        <w:t xml:space="preserve">významnou </w:t>
      </w:r>
      <w:r w:rsidR="00895D5A" w:rsidRPr="00AA166A">
        <w:rPr>
          <w:lang w:val="cs-CZ"/>
        </w:rPr>
        <w:t xml:space="preserve">oblastí je cesta </w:t>
      </w:r>
      <w:r w:rsidR="00491C90" w:rsidRPr="00AA166A">
        <w:rPr>
          <w:lang w:val="cs-CZ"/>
        </w:rPr>
        <w:t xml:space="preserve">firem k </w:t>
      </w:r>
      <w:r w:rsidR="00895D5A" w:rsidRPr="00AA166A">
        <w:rPr>
          <w:lang w:val="cs-CZ"/>
        </w:rPr>
        <w:t>uhlíkové neutralitě</w:t>
      </w:r>
      <w:r w:rsidR="00491C90" w:rsidRPr="00AA166A">
        <w:rPr>
          <w:lang w:val="cs-CZ"/>
        </w:rPr>
        <w:t xml:space="preserve">, s čímž souvisí </w:t>
      </w:r>
      <w:r w:rsidR="00A5320F" w:rsidRPr="00AA166A">
        <w:rPr>
          <w:lang w:val="cs-CZ"/>
        </w:rPr>
        <w:t xml:space="preserve">rostoucí poptávka po </w:t>
      </w:r>
      <w:r w:rsidR="00895D5A" w:rsidRPr="00AA166A">
        <w:rPr>
          <w:lang w:val="cs-CZ"/>
        </w:rPr>
        <w:t>dekarbonizačních plánech a studií</w:t>
      </w:r>
      <w:r w:rsidR="00B52410" w:rsidRPr="00AA166A">
        <w:rPr>
          <w:lang w:val="cs-CZ"/>
        </w:rPr>
        <w:t>ch</w:t>
      </w:r>
      <w:r w:rsidR="00A5320F" w:rsidRPr="00AA166A">
        <w:rPr>
          <w:lang w:val="cs-CZ"/>
        </w:rPr>
        <w:t xml:space="preserve">. </w:t>
      </w:r>
      <w:r w:rsidR="00B52410" w:rsidRPr="00AA166A">
        <w:rPr>
          <w:lang w:val="cs-CZ"/>
        </w:rPr>
        <w:t>Společnosti</w:t>
      </w:r>
      <w:r w:rsidR="00A5320F" w:rsidRPr="00AA166A">
        <w:rPr>
          <w:lang w:val="cs-CZ"/>
        </w:rPr>
        <w:t xml:space="preserve"> </w:t>
      </w:r>
      <w:r w:rsidR="000E173B" w:rsidRPr="00AA166A">
        <w:rPr>
          <w:lang w:val="cs-CZ"/>
        </w:rPr>
        <w:t>stále častěji vyčleňují náklady na investice</w:t>
      </w:r>
      <w:r w:rsidR="00C036D8" w:rsidRPr="00AA166A">
        <w:rPr>
          <w:lang w:val="cs-CZ"/>
        </w:rPr>
        <w:t xml:space="preserve"> (</w:t>
      </w:r>
      <w:r w:rsidR="00A5320F" w:rsidRPr="00AA166A">
        <w:rPr>
          <w:lang w:val="cs-CZ"/>
        </w:rPr>
        <w:t>CAPEX</w:t>
      </w:r>
      <w:r w:rsidR="00C036D8" w:rsidRPr="00AA166A">
        <w:rPr>
          <w:lang w:val="cs-CZ"/>
        </w:rPr>
        <w:t>)</w:t>
      </w:r>
      <w:r w:rsidR="000E173B" w:rsidRPr="00AA166A">
        <w:rPr>
          <w:lang w:val="cs-CZ"/>
        </w:rPr>
        <w:t xml:space="preserve"> takovým způsobem</w:t>
      </w:r>
      <w:r w:rsidR="00A5320F" w:rsidRPr="00AA166A">
        <w:rPr>
          <w:lang w:val="cs-CZ"/>
        </w:rPr>
        <w:t>, aby dosáhly svých</w:t>
      </w:r>
      <w:r w:rsidR="00856A53" w:rsidRPr="00AA166A">
        <w:rPr>
          <w:lang w:val="cs-CZ"/>
        </w:rPr>
        <w:t xml:space="preserve"> cílů nulové čisté spotřeby energie</w:t>
      </w:r>
      <w:r w:rsidR="00A5320F" w:rsidRPr="00AA166A">
        <w:rPr>
          <w:lang w:val="cs-CZ"/>
        </w:rPr>
        <w:t xml:space="preserve">. Tento rostoucí trend </w:t>
      </w:r>
      <w:r w:rsidR="00491C90" w:rsidRPr="00AA166A">
        <w:rPr>
          <w:lang w:val="cs-CZ"/>
        </w:rPr>
        <w:t>představuje</w:t>
      </w:r>
      <w:r w:rsidR="00A5320F" w:rsidRPr="00AA166A">
        <w:rPr>
          <w:lang w:val="cs-CZ"/>
        </w:rPr>
        <w:t xml:space="preserve"> hlubší závazek k environmentální udržitelnosti, což má přímý dopad na tržní strategie</w:t>
      </w:r>
      <w:r w:rsidR="000E173B" w:rsidRPr="00AA166A">
        <w:rPr>
          <w:lang w:val="cs-CZ"/>
        </w:rPr>
        <w:t xml:space="preserve"> firem</w:t>
      </w:r>
      <w:r w:rsidR="00A5320F" w:rsidRPr="00AA166A">
        <w:rPr>
          <w:lang w:val="cs-CZ"/>
        </w:rPr>
        <w:t xml:space="preserve">. S postupujícím vývojem se tyto studie stanou standardní součástí investičního plánování a </w:t>
      </w:r>
      <w:r w:rsidR="00C036D8" w:rsidRPr="00AA166A">
        <w:rPr>
          <w:lang w:val="cs-CZ"/>
        </w:rPr>
        <w:t xml:space="preserve">budou mít klíčový vliv na formování </w:t>
      </w:r>
      <w:r w:rsidR="000E173B" w:rsidRPr="00AA166A">
        <w:rPr>
          <w:lang w:val="cs-CZ"/>
        </w:rPr>
        <w:t>nového</w:t>
      </w:r>
      <w:r w:rsidR="00C036D8" w:rsidRPr="00AA166A">
        <w:rPr>
          <w:lang w:val="cs-CZ"/>
        </w:rPr>
        <w:t xml:space="preserve"> podnikatelského prostředí.</w:t>
      </w:r>
    </w:p>
    <w:p w14:paraId="34338F00" w14:textId="11FD09BC" w:rsidR="00895D5A" w:rsidRPr="00AA166A" w:rsidRDefault="00895D5A" w:rsidP="006C6044">
      <w:pPr>
        <w:pStyle w:val="BodyCopy"/>
        <w:rPr>
          <w:lang w:val="en-GB"/>
        </w:rPr>
      </w:pPr>
    </w:p>
    <w:p w14:paraId="733D994E" w14:textId="185C8113" w:rsidR="00A5320F" w:rsidRPr="00AA166A" w:rsidRDefault="00A5320F" w:rsidP="00A5320F">
      <w:pPr>
        <w:pStyle w:val="BodyCopy"/>
        <w:rPr>
          <w:lang w:val="cs-CZ"/>
        </w:rPr>
      </w:pPr>
      <w:r w:rsidRPr="00AA166A">
        <w:rPr>
          <w:b/>
          <w:bCs/>
          <w:lang w:val="cs-CZ"/>
        </w:rPr>
        <w:t>Martin Vejražka, vedoucí oddělení udržitelnosti</w:t>
      </w:r>
      <w:r w:rsidR="006810E4" w:rsidRPr="00AA166A">
        <w:rPr>
          <w:b/>
          <w:bCs/>
          <w:lang w:val="cs-CZ"/>
        </w:rPr>
        <w:t xml:space="preserve"> CBRE</w:t>
      </w:r>
      <w:r w:rsidRPr="00AA166A">
        <w:rPr>
          <w:lang w:val="cs-CZ"/>
        </w:rPr>
        <w:t xml:space="preserve">, popisuje: </w:t>
      </w:r>
      <w:r w:rsidR="000C0082" w:rsidRPr="00AA166A">
        <w:rPr>
          <w:i/>
          <w:iCs/>
          <w:lang w:val="cs-CZ"/>
        </w:rPr>
        <w:t>„</w:t>
      </w:r>
      <w:r w:rsidRPr="00AA166A">
        <w:rPr>
          <w:i/>
          <w:iCs/>
          <w:lang w:val="cs-CZ"/>
        </w:rPr>
        <w:t>Při pohledu do budoucn</w:t>
      </w:r>
      <w:r w:rsidR="00462A07" w:rsidRPr="00AA166A">
        <w:rPr>
          <w:i/>
          <w:iCs/>
          <w:lang w:val="cs-CZ"/>
        </w:rPr>
        <w:t>osti lze jedině konstatovat, že</w:t>
      </w:r>
      <w:r w:rsidR="00D6693C" w:rsidRPr="00AA166A">
        <w:rPr>
          <w:i/>
          <w:iCs/>
          <w:lang w:val="cs-CZ"/>
        </w:rPr>
        <w:t xml:space="preserve"> význam robustnějších ESG strategií nabyde na významu. Ať už půjde o rostoucí</w:t>
      </w:r>
      <w:r w:rsidR="00462A07" w:rsidRPr="00AA166A">
        <w:rPr>
          <w:i/>
          <w:iCs/>
          <w:lang w:val="cs-CZ"/>
        </w:rPr>
        <w:t xml:space="preserve"> zájem o zelené certifikace, dekarbonizaci </w:t>
      </w:r>
      <w:r w:rsidR="00D6693C" w:rsidRPr="00AA166A">
        <w:rPr>
          <w:i/>
          <w:iCs/>
          <w:lang w:val="cs-CZ"/>
        </w:rPr>
        <w:t>či p</w:t>
      </w:r>
      <w:r w:rsidRPr="00AA166A">
        <w:rPr>
          <w:i/>
          <w:iCs/>
          <w:lang w:val="cs-CZ"/>
        </w:rPr>
        <w:t>otřebu komplexního emisního a nefinančního reportingu</w:t>
      </w:r>
      <w:r w:rsidR="00D6693C" w:rsidRPr="00AA166A">
        <w:rPr>
          <w:i/>
          <w:iCs/>
          <w:lang w:val="cs-CZ"/>
        </w:rPr>
        <w:t xml:space="preserve"> v souladu s taxonomií EU</w:t>
      </w:r>
      <w:r w:rsidRPr="00AA166A">
        <w:rPr>
          <w:i/>
          <w:iCs/>
          <w:lang w:val="cs-CZ"/>
        </w:rPr>
        <w:t xml:space="preserve">. To </w:t>
      </w:r>
      <w:r w:rsidR="00D6693C" w:rsidRPr="00AA166A">
        <w:rPr>
          <w:i/>
          <w:iCs/>
          <w:lang w:val="cs-CZ"/>
        </w:rPr>
        <w:t xml:space="preserve">vše </w:t>
      </w:r>
      <w:r w:rsidRPr="00AA166A">
        <w:rPr>
          <w:i/>
          <w:iCs/>
          <w:lang w:val="cs-CZ"/>
        </w:rPr>
        <w:t xml:space="preserve">bude ovlivněno vyvíjejícím se legislativním prostředím, zejména směrnicí </w:t>
      </w:r>
      <w:r w:rsidR="00D6693C" w:rsidRPr="00AA166A">
        <w:rPr>
          <w:i/>
          <w:iCs/>
          <w:lang w:val="cs-CZ"/>
        </w:rPr>
        <w:t>CSRD</w:t>
      </w:r>
      <w:r w:rsidR="00301975" w:rsidRPr="00AA166A">
        <w:rPr>
          <w:rStyle w:val="Znakapoznpodarou"/>
          <w:i/>
          <w:iCs/>
          <w:lang w:val="cs-CZ"/>
        </w:rPr>
        <w:footnoteReference w:id="1"/>
      </w:r>
      <w:r w:rsidR="00D6693C" w:rsidRPr="00AA166A">
        <w:rPr>
          <w:i/>
          <w:iCs/>
          <w:lang w:val="cs-CZ"/>
        </w:rPr>
        <w:t xml:space="preserve"> </w:t>
      </w:r>
      <w:r w:rsidRPr="00AA166A">
        <w:rPr>
          <w:i/>
          <w:iCs/>
          <w:lang w:val="cs-CZ"/>
        </w:rPr>
        <w:t xml:space="preserve">o podávání zpráv o udržitelnosti podniků a rostoucím závazkem k dosažení </w:t>
      </w:r>
      <w:r w:rsidR="00D6693C" w:rsidRPr="00AA166A">
        <w:rPr>
          <w:i/>
          <w:iCs/>
          <w:lang w:val="cs-CZ"/>
        </w:rPr>
        <w:t xml:space="preserve">nulových čistých emisí uhlíku </w:t>
      </w:r>
      <w:r w:rsidRPr="00AA166A">
        <w:rPr>
          <w:i/>
          <w:iCs/>
          <w:lang w:val="cs-CZ"/>
        </w:rPr>
        <w:t xml:space="preserve">na straně pronajímatelů </w:t>
      </w:r>
      <w:r w:rsidR="00D6693C" w:rsidRPr="00AA166A">
        <w:rPr>
          <w:i/>
          <w:iCs/>
          <w:lang w:val="cs-CZ"/>
        </w:rPr>
        <w:t>i</w:t>
      </w:r>
      <w:r w:rsidRPr="00AA166A">
        <w:rPr>
          <w:i/>
          <w:iCs/>
          <w:lang w:val="cs-CZ"/>
        </w:rPr>
        <w:t xml:space="preserve"> nájemců. S tím, jak se v příštích letech </w:t>
      </w:r>
      <w:r w:rsidR="00D6693C" w:rsidRPr="00AA166A">
        <w:rPr>
          <w:i/>
          <w:iCs/>
          <w:lang w:val="cs-CZ"/>
        </w:rPr>
        <w:t xml:space="preserve">bude </w:t>
      </w:r>
      <w:r w:rsidRPr="00AA166A">
        <w:rPr>
          <w:i/>
          <w:iCs/>
          <w:lang w:val="cs-CZ"/>
        </w:rPr>
        <w:t xml:space="preserve">rozšiřovat </w:t>
      </w:r>
      <w:r w:rsidRPr="00AA166A">
        <w:rPr>
          <w:i/>
          <w:iCs/>
          <w:lang w:val="cs-CZ"/>
        </w:rPr>
        <w:lastRenderedPageBreak/>
        <w:t xml:space="preserve">působnost CSRD, bude </w:t>
      </w:r>
      <w:r w:rsidR="0034641C" w:rsidRPr="00AA166A">
        <w:rPr>
          <w:i/>
          <w:iCs/>
          <w:lang w:val="cs-CZ"/>
        </w:rPr>
        <w:t>vyvíjen stále větší tlak na firmy</w:t>
      </w:r>
      <w:r w:rsidRPr="00AA166A">
        <w:rPr>
          <w:i/>
          <w:iCs/>
          <w:lang w:val="cs-CZ"/>
        </w:rPr>
        <w:t xml:space="preserve"> k</w:t>
      </w:r>
      <w:r w:rsidR="0034641C" w:rsidRPr="00AA166A">
        <w:rPr>
          <w:i/>
          <w:iCs/>
          <w:lang w:val="cs-CZ"/>
        </w:rPr>
        <w:t xml:space="preserve"> prosazování </w:t>
      </w:r>
      <w:r w:rsidRPr="00AA166A">
        <w:rPr>
          <w:i/>
          <w:iCs/>
          <w:lang w:val="cs-CZ"/>
        </w:rPr>
        <w:t>udržitelný</w:t>
      </w:r>
      <w:r w:rsidR="0034641C" w:rsidRPr="00AA166A">
        <w:rPr>
          <w:i/>
          <w:iCs/>
          <w:lang w:val="cs-CZ"/>
        </w:rPr>
        <w:t>ch</w:t>
      </w:r>
      <w:r w:rsidRPr="00AA166A">
        <w:rPr>
          <w:i/>
          <w:iCs/>
          <w:lang w:val="cs-CZ"/>
        </w:rPr>
        <w:t xml:space="preserve"> postupů</w:t>
      </w:r>
      <w:r w:rsidR="0034641C" w:rsidRPr="00AA166A">
        <w:rPr>
          <w:i/>
          <w:iCs/>
          <w:lang w:val="cs-CZ"/>
        </w:rPr>
        <w:t xml:space="preserve">. A </w:t>
      </w:r>
      <w:r w:rsidRPr="00AA166A">
        <w:rPr>
          <w:i/>
          <w:iCs/>
          <w:lang w:val="cs-CZ"/>
        </w:rPr>
        <w:t>úvahy o</w:t>
      </w:r>
      <w:r w:rsidR="00B53C72">
        <w:rPr>
          <w:i/>
          <w:iCs/>
          <w:lang w:val="cs-CZ"/>
        </w:rPr>
        <w:t> </w:t>
      </w:r>
      <w:r w:rsidRPr="00AA166A">
        <w:rPr>
          <w:i/>
          <w:iCs/>
          <w:lang w:val="cs-CZ"/>
        </w:rPr>
        <w:t>ESG</w:t>
      </w:r>
      <w:r w:rsidR="0034641C" w:rsidRPr="00AA166A">
        <w:rPr>
          <w:i/>
          <w:iCs/>
          <w:lang w:val="cs-CZ"/>
        </w:rPr>
        <w:t xml:space="preserve"> se díky tomu</w:t>
      </w:r>
      <w:r w:rsidRPr="00AA166A">
        <w:rPr>
          <w:i/>
          <w:iCs/>
          <w:lang w:val="cs-CZ"/>
        </w:rPr>
        <w:t xml:space="preserve"> ještě </w:t>
      </w:r>
      <w:r w:rsidR="009F60BA" w:rsidRPr="00AA166A">
        <w:rPr>
          <w:i/>
          <w:iCs/>
          <w:lang w:val="cs-CZ"/>
        </w:rPr>
        <w:t xml:space="preserve">více zakoření do </w:t>
      </w:r>
      <w:r w:rsidR="0034641C" w:rsidRPr="00AA166A">
        <w:rPr>
          <w:i/>
          <w:iCs/>
          <w:lang w:val="cs-CZ"/>
        </w:rPr>
        <w:t>byznysu</w:t>
      </w:r>
      <w:r w:rsidR="009F60BA" w:rsidRPr="00AA166A">
        <w:rPr>
          <w:i/>
          <w:iCs/>
          <w:lang w:val="cs-CZ"/>
        </w:rPr>
        <w:t>, jak ho známe v současnosti</w:t>
      </w:r>
      <w:r w:rsidR="008E49E7" w:rsidRPr="00AA166A">
        <w:rPr>
          <w:i/>
          <w:iCs/>
          <w:lang w:val="cs-CZ"/>
        </w:rPr>
        <w:t>.</w:t>
      </w:r>
      <w:r w:rsidR="00856A53" w:rsidRPr="00AA166A">
        <w:rPr>
          <w:i/>
          <w:iCs/>
          <w:lang w:val="cs-CZ"/>
        </w:rPr>
        <w:t>“</w:t>
      </w:r>
    </w:p>
    <w:p w14:paraId="382A0987" w14:textId="0A9F5726" w:rsidR="00A5320F" w:rsidRPr="00AA166A" w:rsidRDefault="00A5320F" w:rsidP="00A5320F">
      <w:pPr>
        <w:pStyle w:val="BodyCopy"/>
        <w:rPr>
          <w:lang w:val="en-GB"/>
        </w:rPr>
      </w:pPr>
    </w:p>
    <w:p w14:paraId="67270BFA" w14:textId="0B386CC0" w:rsidR="00A5320F" w:rsidRPr="00AA166A" w:rsidRDefault="00BD3D8E" w:rsidP="00A5320F">
      <w:pPr>
        <w:pStyle w:val="BodyCopy"/>
        <w:rPr>
          <w:lang w:val="cs-CZ"/>
        </w:rPr>
      </w:pPr>
      <w:bookmarkStart w:id="1" w:name="_Hlk151981928"/>
      <w:r w:rsidRPr="00AA166A">
        <w:rPr>
          <w:b/>
          <w:bCs/>
          <w:lang w:val="cs-CZ"/>
        </w:rPr>
        <w:t xml:space="preserve">Nálada investorů se </w:t>
      </w:r>
      <w:r w:rsidR="00480C44" w:rsidRPr="00AA166A">
        <w:rPr>
          <w:b/>
          <w:bCs/>
          <w:lang w:val="cs-CZ"/>
        </w:rPr>
        <w:t>mění k lepšímu</w:t>
      </w:r>
      <w:r w:rsidR="00480C44" w:rsidRPr="00AA166A">
        <w:rPr>
          <w:b/>
          <w:bCs/>
          <w:lang w:val="cs-CZ"/>
        </w:rPr>
        <w:br/>
      </w:r>
      <w:r w:rsidR="00A5320F" w:rsidRPr="00AA166A">
        <w:rPr>
          <w:lang w:val="cs-CZ"/>
        </w:rPr>
        <w:t>CBRE očekává, že celkový objem investic do komerčních nemovitostí v České republice dosáhne v roce 2024 přibližně 1,5 miliardy eur, což představuje 15% meziroční nárůst.</w:t>
      </w:r>
    </w:p>
    <w:p w14:paraId="6AA47A8D" w14:textId="77777777" w:rsidR="001F0A13" w:rsidRPr="00AA166A" w:rsidRDefault="001F0A13" w:rsidP="001F0A13">
      <w:pPr>
        <w:pStyle w:val="BodyCopy"/>
        <w:rPr>
          <w:lang w:val="en-GB"/>
        </w:rPr>
      </w:pPr>
    </w:p>
    <w:p w14:paraId="64BA12C4" w14:textId="2D1935A8" w:rsidR="00AC4EAD" w:rsidRPr="00AA166A" w:rsidRDefault="00A5320F" w:rsidP="001F0A13">
      <w:pPr>
        <w:pStyle w:val="BodyCopy"/>
        <w:rPr>
          <w:lang w:val="cs-CZ"/>
        </w:rPr>
      </w:pPr>
      <w:r w:rsidRPr="00AA166A">
        <w:rPr>
          <w:lang w:val="cs-CZ"/>
        </w:rPr>
        <w:t xml:space="preserve">Klesající investiční aktivita </w:t>
      </w:r>
      <w:r w:rsidR="00F66895" w:rsidRPr="00AA166A">
        <w:rPr>
          <w:lang w:val="cs-CZ"/>
        </w:rPr>
        <w:t xml:space="preserve">odstartovala </w:t>
      </w:r>
      <w:r w:rsidRPr="00AA166A">
        <w:rPr>
          <w:lang w:val="cs-CZ"/>
        </w:rPr>
        <w:t xml:space="preserve">v roce 2021, kdy </w:t>
      </w:r>
      <w:r w:rsidR="00F66895" w:rsidRPr="00AA166A">
        <w:rPr>
          <w:lang w:val="cs-CZ"/>
        </w:rPr>
        <w:t xml:space="preserve">se </w:t>
      </w:r>
      <w:r w:rsidRPr="00AA166A">
        <w:rPr>
          <w:lang w:val="cs-CZ"/>
        </w:rPr>
        <w:t xml:space="preserve">objem investic </w:t>
      </w:r>
      <w:r w:rsidR="00F66895" w:rsidRPr="00AA166A">
        <w:rPr>
          <w:lang w:val="cs-CZ"/>
        </w:rPr>
        <w:t>snížil</w:t>
      </w:r>
      <w:r w:rsidRPr="00AA166A">
        <w:rPr>
          <w:lang w:val="cs-CZ"/>
        </w:rPr>
        <w:t xml:space="preserve"> těsně pod 2 miliardy eur, a od té doby pokrač</w:t>
      </w:r>
      <w:r w:rsidR="00F66895" w:rsidRPr="00AA166A">
        <w:rPr>
          <w:lang w:val="cs-CZ"/>
        </w:rPr>
        <w:t>oval</w:t>
      </w:r>
      <w:r w:rsidRPr="00AA166A">
        <w:rPr>
          <w:lang w:val="cs-CZ"/>
        </w:rPr>
        <w:t xml:space="preserve"> v poklesu o 15</w:t>
      </w:r>
      <w:r w:rsidR="00F66895" w:rsidRPr="00AA166A">
        <w:rPr>
          <w:lang w:val="cs-CZ"/>
        </w:rPr>
        <w:t xml:space="preserve"> až </w:t>
      </w:r>
      <w:r w:rsidRPr="00AA166A">
        <w:rPr>
          <w:lang w:val="cs-CZ"/>
        </w:rPr>
        <w:t>20 % ročně</w:t>
      </w:r>
      <w:r w:rsidR="00F66895" w:rsidRPr="00AA166A">
        <w:rPr>
          <w:lang w:val="cs-CZ"/>
        </w:rPr>
        <w:t>. Rozjednané tra</w:t>
      </w:r>
      <w:r w:rsidRPr="00AA166A">
        <w:rPr>
          <w:lang w:val="cs-CZ"/>
        </w:rPr>
        <w:t xml:space="preserve">nsakce </w:t>
      </w:r>
      <w:r w:rsidR="00F66895" w:rsidRPr="00AA166A">
        <w:rPr>
          <w:lang w:val="cs-CZ"/>
        </w:rPr>
        <w:t>byly</w:t>
      </w:r>
      <w:r w:rsidRPr="00AA166A">
        <w:rPr>
          <w:lang w:val="cs-CZ"/>
        </w:rPr>
        <w:t xml:space="preserve"> přeceňovány </w:t>
      </w:r>
      <w:r w:rsidR="00F66895" w:rsidRPr="00AA166A">
        <w:rPr>
          <w:lang w:val="cs-CZ"/>
        </w:rPr>
        <w:t>a</w:t>
      </w:r>
      <w:r w:rsidRPr="00AA166A">
        <w:rPr>
          <w:lang w:val="cs-CZ"/>
        </w:rPr>
        <w:t xml:space="preserve">nebo </w:t>
      </w:r>
      <w:r w:rsidR="00301975" w:rsidRPr="00AA166A">
        <w:rPr>
          <w:lang w:val="cs-CZ"/>
        </w:rPr>
        <w:t>kompletně</w:t>
      </w:r>
      <w:r w:rsidR="00F66895" w:rsidRPr="00AA166A">
        <w:rPr>
          <w:lang w:val="cs-CZ"/>
        </w:rPr>
        <w:t xml:space="preserve"> </w:t>
      </w:r>
      <w:r w:rsidRPr="00AA166A">
        <w:rPr>
          <w:lang w:val="cs-CZ"/>
        </w:rPr>
        <w:t>pozastav</w:t>
      </w:r>
      <w:r w:rsidR="00F66895" w:rsidRPr="00AA166A">
        <w:rPr>
          <w:lang w:val="cs-CZ"/>
        </w:rPr>
        <w:t>e</w:t>
      </w:r>
      <w:r w:rsidRPr="00AA166A">
        <w:rPr>
          <w:lang w:val="cs-CZ"/>
        </w:rPr>
        <w:t>ny. Tento pokles byl vyvolán</w:t>
      </w:r>
      <w:r w:rsidR="00F66895" w:rsidRPr="00AA166A">
        <w:rPr>
          <w:lang w:val="cs-CZ"/>
        </w:rPr>
        <w:t xml:space="preserve"> </w:t>
      </w:r>
      <w:r w:rsidR="00DC4AB9" w:rsidRPr="00AA166A">
        <w:rPr>
          <w:lang w:val="cs-CZ"/>
        </w:rPr>
        <w:t>především</w:t>
      </w:r>
      <w:r w:rsidRPr="00AA166A">
        <w:rPr>
          <w:lang w:val="cs-CZ"/>
        </w:rPr>
        <w:t xml:space="preserve"> nejistotou </w:t>
      </w:r>
      <w:r w:rsidR="00F66895" w:rsidRPr="00AA166A">
        <w:rPr>
          <w:lang w:val="cs-CZ"/>
        </w:rPr>
        <w:t>ohledně dalšího ekonomického vývoje</w:t>
      </w:r>
      <w:r w:rsidRPr="00AA166A">
        <w:rPr>
          <w:lang w:val="cs-CZ"/>
        </w:rPr>
        <w:t xml:space="preserve"> a </w:t>
      </w:r>
      <w:r w:rsidR="00F66895" w:rsidRPr="00AA166A">
        <w:rPr>
          <w:lang w:val="cs-CZ"/>
        </w:rPr>
        <w:t xml:space="preserve">současně </w:t>
      </w:r>
      <w:r w:rsidRPr="00AA166A">
        <w:rPr>
          <w:lang w:val="cs-CZ"/>
        </w:rPr>
        <w:t xml:space="preserve">rychlým </w:t>
      </w:r>
      <w:r w:rsidR="00F66895" w:rsidRPr="00AA166A">
        <w:rPr>
          <w:lang w:val="cs-CZ"/>
        </w:rPr>
        <w:t>ná</w:t>
      </w:r>
      <w:r w:rsidRPr="00AA166A">
        <w:rPr>
          <w:lang w:val="cs-CZ"/>
        </w:rPr>
        <w:t>růstem nákladů na financování</w:t>
      </w:r>
      <w:r w:rsidR="00F66895" w:rsidRPr="00AA166A">
        <w:rPr>
          <w:lang w:val="cs-CZ"/>
        </w:rPr>
        <w:t xml:space="preserve">. </w:t>
      </w:r>
      <w:r w:rsidR="00301975" w:rsidRPr="00AA166A">
        <w:rPr>
          <w:lang w:val="cs-CZ"/>
        </w:rPr>
        <w:t xml:space="preserve">Pro dokreslení situace, </w:t>
      </w:r>
      <w:r w:rsidRPr="00AA166A">
        <w:rPr>
          <w:lang w:val="cs-CZ"/>
        </w:rPr>
        <w:t xml:space="preserve">swapové sazby </w:t>
      </w:r>
      <w:proofErr w:type="spellStart"/>
      <w:r w:rsidRPr="00AA166A">
        <w:rPr>
          <w:lang w:val="cs-CZ"/>
        </w:rPr>
        <w:t>E</w:t>
      </w:r>
      <w:r w:rsidR="00301975" w:rsidRPr="00AA166A">
        <w:rPr>
          <w:lang w:val="cs-CZ"/>
        </w:rPr>
        <w:t>uribor</w:t>
      </w:r>
      <w:proofErr w:type="spellEnd"/>
      <w:r w:rsidR="00301975" w:rsidRPr="00AA166A">
        <w:rPr>
          <w:rStyle w:val="Znakapoznpodarou"/>
          <w:lang w:val="cs-CZ"/>
        </w:rPr>
        <w:footnoteReference w:id="2"/>
      </w:r>
      <w:r w:rsidR="00301975" w:rsidRPr="00AA166A">
        <w:rPr>
          <w:lang w:val="cs-CZ"/>
        </w:rPr>
        <w:t xml:space="preserve"> </w:t>
      </w:r>
      <w:r w:rsidR="00244C15" w:rsidRPr="00AA166A">
        <w:rPr>
          <w:lang w:val="cs-CZ"/>
        </w:rPr>
        <w:t xml:space="preserve">tehdy </w:t>
      </w:r>
      <w:r w:rsidRPr="00AA166A">
        <w:rPr>
          <w:lang w:val="cs-CZ"/>
        </w:rPr>
        <w:t xml:space="preserve">zaznamenaly nárůst o více než 300 bazických bodů. </w:t>
      </w:r>
      <w:r w:rsidR="00DC4AB9" w:rsidRPr="00AA166A">
        <w:rPr>
          <w:lang w:val="cs-CZ"/>
        </w:rPr>
        <w:t xml:space="preserve">Vyšší náklady financování následně vedly k dekompresi kapitalizační míry, a to napříč evropskými trhy i realitními sektory. Výnosy neboli prime </w:t>
      </w:r>
      <w:proofErr w:type="spellStart"/>
      <w:r w:rsidR="00DC4AB9" w:rsidRPr="00AA166A">
        <w:rPr>
          <w:lang w:val="cs-CZ"/>
        </w:rPr>
        <w:t>yields</w:t>
      </w:r>
      <w:proofErr w:type="spellEnd"/>
      <w:r w:rsidR="00DC4AB9" w:rsidRPr="00AA166A">
        <w:rPr>
          <w:lang w:val="cs-CZ"/>
        </w:rPr>
        <w:t xml:space="preserve"> u </w:t>
      </w:r>
      <w:r w:rsidR="00244C15" w:rsidRPr="00AA166A">
        <w:rPr>
          <w:lang w:val="cs-CZ"/>
        </w:rPr>
        <w:t>tuzemských prémiových</w:t>
      </w:r>
      <w:r w:rsidR="00DC4AB9" w:rsidRPr="00AA166A">
        <w:rPr>
          <w:lang w:val="cs-CZ"/>
        </w:rPr>
        <w:t xml:space="preserve"> nemovitostí od té doby eskalovaly napříč segmenty o 50-100 bazických bodů. Výnosy </w:t>
      </w:r>
      <w:r w:rsidR="00AC4EAD" w:rsidRPr="00AA166A">
        <w:rPr>
          <w:lang w:val="cs-CZ"/>
        </w:rPr>
        <w:t xml:space="preserve">u </w:t>
      </w:r>
      <w:r w:rsidR="00244C15" w:rsidRPr="00AA166A">
        <w:rPr>
          <w:lang w:val="cs-CZ"/>
        </w:rPr>
        <w:t xml:space="preserve">retailových </w:t>
      </w:r>
      <w:r w:rsidR="00DC4AB9" w:rsidRPr="00AA166A">
        <w:rPr>
          <w:lang w:val="cs-CZ"/>
        </w:rPr>
        <w:t xml:space="preserve">nemovitostí </w:t>
      </w:r>
      <w:r w:rsidR="00244C15" w:rsidRPr="00AA166A">
        <w:rPr>
          <w:lang w:val="cs-CZ"/>
        </w:rPr>
        <w:t xml:space="preserve">přitom </w:t>
      </w:r>
      <w:r w:rsidR="00DC4AB9" w:rsidRPr="00AA166A">
        <w:rPr>
          <w:lang w:val="cs-CZ"/>
        </w:rPr>
        <w:t xml:space="preserve">byly ovlivněny nejméně, protože </w:t>
      </w:r>
      <w:r w:rsidR="00AC4EAD" w:rsidRPr="00AA166A">
        <w:rPr>
          <w:lang w:val="cs-CZ"/>
        </w:rPr>
        <w:t>zaznamenaly korekci</w:t>
      </w:r>
      <w:r w:rsidR="00DC4AB9" w:rsidRPr="00AA166A">
        <w:rPr>
          <w:lang w:val="cs-CZ"/>
        </w:rPr>
        <w:t xml:space="preserve"> již během </w:t>
      </w:r>
      <w:r w:rsidR="00AC4EAD" w:rsidRPr="00AA166A">
        <w:rPr>
          <w:lang w:val="cs-CZ"/>
        </w:rPr>
        <w:t>pandemie c</w:t>
      </w:r>
      <w:r w:rsidR="00DC4AB9" w:rsidRPr="00AA166A">
        <w:rPr>
          <w:lang w:val="cs-CZ"/>
        </w:rPr>
        <w:t>ovid</w:t>
      </w:r>
      <w:r w:rsidR="00AC4EAD" w:rsidRPr="00AA166A">
        <w:rPr>
          <w:lang w:val="cs-CZ"/>
        </w:rPr>
        <w:t>u-19</w:t>
      </w:r>
      <w:r w:rsidR="00DC4AB9" w:rsidRPr="00AA166A">
        <w:rPr>
          <w:lang w:val="cs-CZ"/>
        </w:rPr>
        <w:t>.</w:t>
      </w:r>
    </w:p>
    <w:p w14:paraId="22B8BD99" w14:textId="77777777" w:rsidR="00AC4EAD" w:rsidRPr="00AA166A" w:rsidRDefault="00AC4EAD" w:rsidP="001F0A13">
      <w:pPr>
        <w:pStyle w:val="BodyCopy"/>
        <w:rPr>
          <w:lang w:val="cs-CZ"/>
        </w:rPr>
      </w:pPr>
    </w:p>
    <w:p w14:paraId="70454F9D" w14:textId="68E065FC" w:rsidR="00A5320F" w:rsidRPr="00AA166A" w:rsidRDefault="00244C15" w:rsidP="001F0A13">
      <w:pPr>
        <w:pStyle w:val="BodyCopy"/>
        <w:rPr>
          <w:lang w:val="cs-CZ"/>
        </w:rPr>
      </w:pPr>
      <w:r w:rsidRPr="00AA166A">
        <w:rPr>
          <w:lang w:val="cs-CZ"/>
        </w:rPr>
        <w:t xml:space="preserve">Každopádně </w:t>
      </w:r>
      <w:r w:rsidR="00B705C4" w:rsidRPr="00AA166A">
        <w:rPr>
          <w:lang w:val="cs-CZ"/>
        </w:rPr>
        <w:t>aktuální okolnosti</w:t>
      </w:r>
      <w:r w:rsidRPr="00AA166A">
        <w:rPr>
          <w:lang w:val="cs-CZ"/>
        </w:rPr>
        <w:t>, kdy</w:t>
      </w:r>
      <w:r w:rsidR="00A5320F" w:rsidRPr="00AA166A">
        <w:rPr>
          <w:lang w:val="cs-CZ"/>
        </w:rPr>
        <w:t xml:space="preserve"> </w:t>
      </w:r>
      <w:r w:rsidRPr="00AA166A">
        <w:rPr>
          <w:lang w:val="cs-CZ"/>
        </w:rPr>
        <w:t xml:space="preserve">se objevují první náznaky zvládnutí inflace a </w:t>
      </w:r>
      <w:r w:rsidR="00B705C4" w:rsidRPr="00AA166A">
        <w:rPr>
          <w:lang w:val="cs-CZ"/>
        </w:rPr>
        <w:t>potenciálního</w:t>
      </w:r>
      <w:r w:rsidRPr="00AA166A">
        <w:rPr>
          <w:lang w:val="cs-CZ"/>
        </w:rPr>
        <w:t xml:space="preserve"> snížení úrokových sazeb,</w:t>
      </w:r>
      <w:r w:rsidR="00B705C4" w:rsidRPr="00AA166A">
        <w:rPr>
          <w:lang w:val="cs-CZ"/>
        </w:rPr>
        <w:t xml:space="preserve"> zažehují na trhu jiskru optimismu</w:t>
      </w:r>
      <w:r w:rsidR="00A5320F" w:rsidRPr="00AA166A">
        <w:rPr>
          <w:lang w:val="cs-CZ"/>
        </w:rPr>
        <w:t xml:space="preserve">. </w:t>
      </w:r>
      <w:r w:rsidR="00B705C4" w:rsidRPr="00AA166A">
        <w:rPr>
          <w:lang w:val="cs-CZ"/>
        </w:rPr>
        <w:t>I</w:t>
      </w:r>
      <w:r w:rsidR="00A5320F" w:rsidRPr="00AA166A">
        <w:rPr>
          <w:lang w:val="cs-CZ"/>
        </w:rPr>
        <w:t xml:space="preserve">nvestorům do nemovitostí </w:t>
      </w:r>
      <w:r w:rsidR="00B705C4" w:rsidRPr="00AA166A">
        <w:rPr>
          <w:lang w:val="cs-CZ"/>
        </w:rPr>
        <w:t xml:space="preserve">dávají </w:t>
      </w:r>
      <w:r w:rsidR="00A5320F" w:rsidRPr="00AA166A">
        <w:rPr>
          <w:lang w:val="cs-CZ"/>
        </w:rPr>
        <w:t>jedinečnou příležitost využít tržních rizik, kter</w:t>
      </w:r>
      <w:r w:rsidR="00B705C4" w:rsidRPr="00AA166A">
        <w:rPr>
          <w:lang w:val="cs-CZ"/>
        </w:rPr>
        <w:t>é</w:t>
      </w:r>
      <w:r w:rsidR="00A5320F" w:rsidRPr="00AA166A">
        <w:rPr>
          <w:lang w:val="cs-CZ"/>
        </w:rPr>
        <w:t xml:space="preserve"> se </w:t>
      </w:r>
      <w:r w:rsidR="00A328BA" w:rsidRPr="00AA166A">
        <w:rPr>
          <w:lang w:val="cs-CZ"/>
        </w:rPr>
        <w:t xml:space="preserve">primárně </w:t>
      </w:r>
      <w:r w:rsidR="00A5320F" w:rsidRPr="00AA166A">
        <w:rPr>
          <w:lang w:val="cs-CZ"/>
        </w:rPr>
        <w:t>projevují v</w:t>
      </w:r>
      <w:r w:rsidR="00B705C4" w:rsidRPr="00AA166A">
        <w:rPr>
          <w:lang w:val="cs-CZ"/>
        </w:rPr>
        <w:t xml:space="preserve"> odlišných </w:t>
      </w:r>
      <w:r w:rsidR="00A5320F" w:rsidRPr="00AA166A">
        <w:rPr>
          <w:lang w:val="cs-CZ"/>
        </w:rPr>
        <w:t>cenových očekáváních, ještě před</w:t>
      </w:r>
      <w:r w:rsidR="00B53C72">
        <w:rPr>
          <w:lang w:val="cs-CZ"/>
        </w:rPr>
        <w:t> </w:t>
      </w:r>
      <w:r w:rsidR="00A5320F" w:rsidRPr="00AA166A">
        <w:rPr>
          <w:lang w:val="cs-CZ"/>
        </w:rPr>
        <w:t>změno</w:t>
      </w:r>
      <w:r w:rsidR="00B705C4" w:rsidRPr="00AA166A">
        <w:rPr>
          <w:lang w:val="cs-CZ"/>
        </w:rPr>
        <w:t>u sentimentu.</w:t>
      </w:r>
    </w:p>
    <w:p w14:paraId="24EE22F8" w14:textId="77777777" w:rsidR="00B705C4" w:rsidRPr="00AA166A" w:rsidRDefault="00B705C4" w:rsidP="001F0A13">
      <w:pPr>
        <w:pStyle w:val="BodyCopy"/>
        <w:rPr>
          <w:lang w:val="cs-CZ"/>
        </w:rPr>
      </w:pPr>
    </w:p>
    <w:bookmarkEnd w:id="1"/>
    <w:p w14:paraId="73AD3CCE" w14:textId="638358F6" w:rsidR="001F0A13" w:rsidRPr="00AA166A" w:rsidRDefault="00A5320F" w:rsidP="001F0A13">
      <w:pPr>
        <w:pStyle w:val="BodyCopy"/>
        <w:rPr>
          <w:i/>
          <w:iCs/>
          <w:lang w:val="cs-CZ"/>
        </w:rPr>
      </w:pPr>
      <w:r w:rsidRPr="00AA166A">
        <w:rPr>
          <w:b/>
          <w:bCs/>
          <w:lang w:val="cs-CZ"/>
        </w:rPr>
        <w:t xml:space="preserve">Jakub Stanislav, vedoucí </w:t>
      </w:r>
      <w:r w:rsidR="00252BB8" w:rsidRPr="00AA166A">
        <w:rPr>
          <w:b/>
          <w:bCs/>
          <w:lang w:val="cs-CZ"/>
        </w:rPr>
        <w:t xml:space="preserve">v investičním </w:t>
      </w:r>
      <w:r w:rsidRPr="00AA166A">
        <w:rPr>
          <w:b/>
          <w:bCs/>
          <w:lang w:val="cs-CZ"/>
        </w:rPr>
        <w:t>oddělení</w:t>
      </w:r>
      <w:r w:rsidR="006810E4" w:rsidRPr="00AA166A">
        <w:rPr>
          <w:b/>
          <w:bCs/>
          <w:lang w:val="cs-CZ"/>
        </w:rPr>
        <w:t xml:space="preserve"> v CBRE</w:t>
      </w:r>
      <w:r w:rsidRPr="00AA166A">
        <w:rPr>
          <w:lang w:val="cs-CZ"/>
        </w:rPr>
        <w:t xml:space="preserve">, </w:t>
      </w:r>
      <w:r w:rsidR="00727E87" w:rsidRPr="00AA166A">
        <w:rPr>
          <w:lang w:val="cs-CZ"/>
        </w:rPr>
        <w:t>uvádí</w:t>
      </w:r>
      <w:r w:rsidRPr="00AA166A">
        <w:rPr>
          <w:lang w:val="cs-CZ"/>
        </w:rPr>
        <w:t>:</w:t>
      </w:r>
      <w:r w:rsidRPr="00AA166A">
        <w:rPr>
          <w:i/>
          <w:iCs/>
          <w:lang w:val="cs-CZ"/>
        </w:rPr>
        <w:t xml:space="preserve"> </w:t>
      </w:r>
      <w:r w:rsidR="007E75FD" w:rsidRPr="00AA166A">
        <w:rPr>
          <w:i/>
          <w:iCs/>
          <w:lang w:val="cs-CZ"/>
        </w:rPr>
        <w:t>„</w:t>
      </w:r>
      <w:r w:rsidR="00252BB8" w:rsidRPr="00AA166A">
        <w:rPr>
          <w:i/>
          <w:iCs/>
          <w:lang w:val="cs-CZ"/>
        </w:rPr>
        <w:t>Tuzemský r</w:t>
      </w:r>
      <w:r w:rsidRPr="00AA166A">
        <w:rPr>
          <w:i/>
          <w:iCs/>
          <w:lang w:val="cs-CZ"/>
        </w:rPr>
        <w:t>ealitní trh je dlouhodobě stabiln</w:t>
      </w:r>
      <w:r w:rsidR="007E75FD" w:rsidRPr="00AA166A">
        <w:rPr>
          <w:i/>
          <w:iCs/>
          <w:lang w:val="cs-CZ"/>
        </w:rPr>
        <w:t>í bez výraznějších negativních vlivů do budoucna. P</w:t>
      </w:r>
      <w:r w:rsidR="00252BB8" w:rsidRPr="00AA166A">
        <w:rPr>
          <w:i/>
          <w:iCs/>
          <w:lang w:val="cs-CZ"/>
        </w:rPr>
        <w:t>otvrzuje</w:t>
      </w:r>
      <w:r w:rsidR="007E75FD" w:rsidRPr="00AA166A">
        <w:rPr>
          <w:i/>
          <w:iCs/>
          <w:lang w:val="cs-CZ"/>
        </w:rPr>
        <w:t xml:space="preserve"> to</w:t>
      </w:r>
      <w:r w:rsidRPr="00AA166A">
        <w:rPr>
          <w:i/>
          <w:iCs/>
          <w:lang w:val="cs-CZ"/>
        </w:rPr>
        <w:t xml:space="preserve"> i nedávné z</w:t>
      </w:r>
      <w:r w:rsidR="00252BB8" w:rsidRPr="00AA166A">
        <w:rPr>
          <w:i/>
          <w:iCs/>
          <w:lang w:val="cs-CZ"/>
        </w:rPr>
        <w:t>lepšení</w:t>
      </w:r>
      <w:r w:rsidRPr="00AA166A">
        <w:rPr>
          <w:i/>
          <w:iCs/>
          <w:lang w:val="cs-CZ"/>
        </w:rPr>
        <w:t xml:space="preserve"> výhledu agentury </w:t>
      </w:r>
      <w:proofErr w:type="spellStart"/>
      <w:r w:rsidRPr="00AA166A">
        <w:rPr>
          <w:i/>
          <w:iCs/>
          <w:lang w:val="cs-CZ"/>
        </w:rPr>
        <w:t>Moody's</w:t>
      </w:r>
      <w:proofErr w:type="spellEnd"/>
      <w:r w:rsidRPr="00AA166A">
        <w:rPr>
          <w:i/>
          <w:iCs/>
          <w:lang w:val="cs-CZ"/>
        </w:rPr>
        <w:t xml:space="preserve"> pro Českou republiku z "negativního" na "stabilní", což signalizuje zlepšení ekonomických očekávání. Celosvětový realitní průmysl </w:t>
      </w:r>
      <w:r w:rsidR="007E75FD" w:rsidRPr="00AA166A">
        <w:rPr>
          <w:i/>
          <w:iCs/>
          <w:lang w:val="cs-CZ"/>
        </w:rPr>
        <w:t>stojí před</w:t>
      </w:r>
      <w:r w:rsidRPr="00AA166A">
        <w:rPr>
          <w:i/>
          <w:iCs/>
          <w:lang w:val="cs-CZ"/>
        </w:rPr>
        <w:t xml:space="preserve"> klíčový</w:t>
      </w:r>
      <w:r w:rsidR="007E75FD" w:rsidRPr="00AA166A">
        <w:rPr>
          <w:i/>
          <w:iCs/>
          <w:lang w:val="cs-CZ"/>
        </w:rPr>
        <w:t>m</w:t>
      </w:r>
      <w:r w:rsidRPr="00AA166A">
        <w:rPr>
          <w:i/>
          <w:iCs/>
          <w:lang w:val="cs-CZ"/>
        </w:rPr>
        <w:t xml:space="preserve"> rok</w:t>
      </w:r>
      <w:r w:rsidR="007E75FD" w:rsidRPr="00AA166A">
        <w:rPr>
          <w:i/>
          <w:iCs/>
          <w:lang w:val="cs-CZ"/>
        </w:rPr>
        <w:t>em, který n</w:t>
      </w:r>
      <w:r w:rsidR="00727E87" w:rsidRPr="00AA166A">
        <w:rPr>
          <w:i/>
          <w:iCs/>
          <w:lang w:val="cs-CZ"/>
        </w:rPr>
        <w:t xml:space="preserve">abídne </w:t>
      </w:r>
      <w:r w:rsidR="00CB4D20" w:rsidRPr="00AA166A">
        <w:rPr>
          <w:i/>
          <w:iCs/>
          <w:lang w:val="cs-CZ"/>
        </w:rPr>
        <w:t>příležitost</w:t>
      </w:r>
      <w:r w:rsidR="00727E87" w:rsidRPr="00AA166A">
        <w:rPr>
          <w:i/>
          <w:iCs/>
          <w:lang w:val="cs-CZ"/>
        </w:rPr>
        <w:t>i</w:t>
      </w:r>
      <w:r w:rsidR="00CB4D20" w:rsidRPr="00AA166A">
        <w:rPr>
          <w:i/>
          <w:iCs/>
          <w:lang w:val="cs-CZ"/>
        </w:rPr>
        <w:t xml:space="preserve">, jak celé odvětví </w:t>
      </w:r>
      <w:r w:rsidR="007E75FD" w:rsidRPr="00AA166A">
        <w:rPr>
          <w:i/>
          <w:iCs/>
          <w:lang w:val="cs-CZ"/>
        </w:rPr>
        <w:t>transformovat</w:t>
      </w:r>
      <w:r w:rsidR="00727E87" w:rsidRPr="00AA166A">
        <w:rPr>
          <w:i/>
          <w:iCs/>
          <w:lang w:val="cs-CZ"/>
        </w:rPr>
        <w:t xml:space="preserve"> </w:t>
      </w:r>
      <w:r w:rsidR="00FA7547" w:rsidRPr="00AA166A">
        <w:rPr>
          <w:i/>
          <w:iCs/>
          <w:lang w:val="cs-CZ"/>
        </w:rPr>
        <w:t xml:space="preserve">a postavit </w:t>
      </w:r>
      <w:r w:rsidR="00727E87" w:rsidRPr="00AA166A">
        <w:rPr>
          <w:i/>
          <w:iCs/>
          <w:lang w:val="cs-CZ"/>
        </w:rPr>
        <w:t xml:space="preserve">na </w:t>
      </w:r>
      <w:r w:rsidR="00CB4D20" w:rsidRPr="00AA166A">
        <w:rPr>
          <w:i/>
          <w:iCs/>
          <w:lang w:val="cs-CZ"/>
        </w:rPr>
        <w:t>p</w:t>
      </w:r>
      <w:r w:rsidRPr="00AA166A">
        <w:rPr>
          <w:i/>
          <w:iCs/>
          <w:lang w:val="cs-CZ"/>
        </w:rPr>
        <w:t>evnějších základech</w:t>
      </w:r>
      <w:r w:rsidR="007E75FD" w:rsidRPr="00AA166A">
        <w:rPr>
          <w:i/>
          <w:iCs/>
          <w:lang w:val="cs-CZ"/>
        </w:rPr>
        <w:t xml:space="preserve">. Děje se tak </w:t>
      </w:r>
      <w:r w:rsidR="00727E87" w:rsidRPr="00AA166A">
        <w:rPr>
          <w:i/>
          <w:iCs/>
          <w:lang w:val="cs-CZ"/>
        </w:rPr>
        <w:t>v dů</w:t>
      </w:r>
      <w:r w:rsidRPr="00AA166A">
        <w:rPr>
          <w:i/>
          <w:iCs/>
          <w:lang w:val="cs-CZ"/>
        </w:rPr>
        <w:t>sledku změny pracovních návyků způsobené pandemií, geopolitick</w:t>
      </w:r>
      <w:r w:rsidR="00CB4D20" w:rsidRPr="00AA166A">
        <w:rPr>
          <w:i/>
          <w:iCs/>
          <w:lang w:val="cs-CZ"/>
        </w:rPr>
        <w:t>ou</w:t>
      </w:r>
      <w:r w:rsidRPr="00AA166A">
        <w:rPr>
          <w:i/>
          <w:iCs/>
          <w:lang w:val="cs-CZ"/>
        </w:rPr>
        <w:t xml:space="preserve"> nejistot</w:t>
      </w:r>
      <w:r w:rsidR="00CB4D20" w:rsidRPr="00AA166A">
        <w:rPr>
          <w:i/>
          <w:iCs/>
          <w:lang w:val="cs-CZ"/>
        </w:rPr>
        <w:t>ou</w:t>
      </w:r>
      <w:r w:rsidRPr="00AA166A">
        <w:rPr>
          <w:i/>
          <w:iCs/>
          <w:lang w:val="cs-CZ"/>
        </w:rPr>
        <w:t xml:space="preserve"> </w:t>
      </w:r>
      <w:r w:rsidR="00CB4D20" w:rsidRPr="00AA166A">
        <w:rPr>
          <w:i/>
          <w:iCs/>
          <w:lang w:val="cs-CZ"/>
        </w:rPr>
        <w:t>i</w:t>
      </w:r>
      <w:r w:rsidRPr="00AA166A">
        <w:rPr>
          <w:i/>
          <w:iCs/>
          <w:lang w:val="cs-CZ"/>
        </w:rPr>
        <w:t xml:space="preserve"> nestabilit</w:t>
      </w:r>
      <w:r w:rsidR="00CB4D20" w:rsidRPr="00AA166A">
        <w:rPr>
          <w:i/>
          <w:iCs/>
          <w:lang w:val="cs-CZ"/>
        </w:rPr>
        <w:t>ou</w:t>
      </w:r>
      <w:r w:rsidRPr="00AA166A">
        <w:rPr>
          <w:i/>
          <w:iCs/>
          <w:lang w:val="cs-CZ"/>
        </w:rPr>
        <w:t xml:space="preserve"> finančních trhů. </w:t>
      </w:r>
      <w:r w:rsidR="00CB4D20" w:rsidRPr="00AA166A">
        <w:rPr>
          <w:i/>
          <w:iCs/>
          <w:lang w:val="cs-CZ"/>
        </w:rPr>
        <w:t>Pozitivní</w:t>
      </w:r>
      <w:r w:rsidRPr="00AA166A">
        <w:rPr>
          <w:i/>
          <w:iCs/>
          <w:lang w:val="cs-CZ"/>
        </w:rPr>
        <w:t xml:space="preserve"> zprávou je, že to nejhorší </w:t>
      </w:r>
      <w:r w:rsidR="0003361C" w:rsidRPr="00AA166A">
        <w:rPr>
          <w:i/>
          <w:iCs/>
          <w:lang w:val="cs-CZ"/>
        </w:rPr>
        <w:t>ohledně</w:t>
      </w:r>
      <w:r w:rsidRPr="00AA166A">
        <w:rPr>
          <w:i/>
          <w:iCs/>
          <w:lang w:val="cs-CZ"/>
        </w:rPr>
        <w:t xml:space="preserve"> inflace je zřejmě za námi, což může Evropskou centrální banku </w:t>
      </w:r>
      <w:r w:rsidR="00FA7547" w:rsidRPr="00AA166A">
        <w:rPr>
          <w:i/>
          <w:iCs/>
          <w:lang w:val="cs-CZ"/>
        </w:rPr>
        <w:t>přimět</w:t>
      </w:r>
      <w:r w:rsidR="00727E87" w:rsidRPr="00AA166A">
        <w:rPr>
          <w:i/>
          <w:iCs/>
          <w:lang w:val="cs-CZ"/>
        </w:rPr>
        <w:t xml:space="preserve"> </w:t>
      </w:r>
      <w:r w:rsidRPr="00AA166A">
        <w:rPr>
          <w:i/>
          <w:iCs/>
          <w:lang w:val="cs-CZ"/>
        </w:rPr>
        <w:t xml:space="preserve">k zastavení </w:t>
      </w:r>
      <w:r w:rsidR="00727E87" w:rsidRPr="00AA166A">
        <w:rPr>
          <w:i/>
          <w:iCs/>
          <w:lang w:val="cs-CZ"/>
        </w:rPr>
        <w:t>nav</w:t>
      </w:r>
      <w:r w:rsidRPr="00AA166A">
        <w:rPr>
          <w:i/>
          <w:iCs/>
          <w:lang w:val="cs-CZ"/>
        </w:rPr>
        <w:t xml:space="preserve">yšování úrokových sazeb. První snížení sazeb </w:t>
      </w:r>
      <w:r w:rsidR="0003361C" w:rsidRPr="00AA166A">
        <w:rPr>
          <w:i/>
          <w:iCs/>
          <w:lang w:val="cs-CZ"/>
        </w:rPr>
        <w:t xml:space="preserve">lze </w:t>
      </w:r>
      <w:r w:rsidR="00727E87" w:rsidRPr="00AA166A">
        <w:rPr>
          <w:i/>
          <w:iCs/>
          <w:lang w:val="cs-CZ"/>
        </w:rPr>
        <w:t xml:space="preserve">přitom </w:t>
      </w:r>
      <w:r w:rsidR="0003361C" w:rsidRPr="00AA166A">
        <w:rPr>
          <w:i/>
          <w:iCs/>
          <w:lang w:val="cs-CZ"/>
        </w:rPr>
        <w:t>očekávat</w:t>
      </w:r>
      <w:r w:rsidRPr="00AA166A">
        <w:rPr>
          <w:i/>
          <w:iCs/>
          <w:lang w:val="cs-CZ"/>
        </w:rPr>
        <w:t xml:space="preserve"> v</w:t>
      </w:r>
      <w:r w:rsidR="00B53C72">
        <w:rPr>
          <w:i/>
          <w:iCs/>
          <w:lang w:val="cs-CZ"/>
        </w:rPr>
        <w:t> </w:t>
      </w:r>
      <w:r w:rsidRPr="00AA166A">
        <w:rPr>
          <w:i/>
          <w:iCs/>
          <w:lang w:val="cs-CZ"/>
        </w:rPr>
        <w:t xml:space="preserve">polovině roku 2024. </w:t>
      </w:r>
      <w:r w:rsidR="00095FCF" w:rsidRPr="00AA166A">
        <w:rPr>
          <w:i/>
          <w:iCs/>
          <w:lang w:val="cs-CZ"/>
        </w:rPr>
        <w:t xml:space="preserve">Ceny nemovitostí v uplynulém roce a půl klesaly, takže veškerá rizika jsou v nich </w:t>
      </w:r>
      <w:r w:rsidR="007E75FD" w:rsidRPr="00AA166A">
        <w:rPr>
          <w:i/>
          <w:iCs/>
          <w:lang w:val="cs-CZ"/>
        </w:rPr>
        <w:t xml:space="preserve">již </w:t>
      </w:r>
      <w:r w:rsidR="00095FCF" w:rsidRPr="00AA166A">
        <w:rPr>
          <w:i/>
          <w:iCs/>
          <w:lang w:val="cs-CZ"/>
        </w:rPr>
        <w:t>z velké části započt</w:t>
      </w:r>
      <w:r w:rsidR="007E75FD" w:rsidRPr="00AA166A">
        <w:rPr>
          <w:i/>
          <w:iCs/>
          <w:lang w:val="cs-CZ"/>
        </w:rPr>
        <w:t>ena</w:t>
      </w:r>
      <w:r w:rsidR="00095FCF" w:rsidRPr="00AA166A">
        <w:rPr>
          <w:i/>
          <w:iCs/>
          <w:lang w:val="cs-CZ"/>
        </w:rPr>
        <w:t xml:space="preserve">. Doba, kdy byly akcie považovány za jedinou možnost investice, se pomalu chýlí ke konci. </w:t>
      </w:r>
      <w:r w:rsidR="0003361C" w:rsidRPr="00AA166A">
        <w:rPr>
          <w:i/>
          <w:iCs/>
          <w:lang w:val="cs-CZ"/>
        </w:rPr>
        <w:t>Náš výhled pro příští rok je p</w:t>
      </w:r>
      <w:r w:rsidRPr="00AA166A">
        <w:rPr>
          <w:i/>
          <w:iCs/>
          <w:lang w:val="cs-CZ"/>
        </w:rPr>
        <w:t>ozitivní</w:t>
      </w:r>
      <w:r w:rsidR="00727E87" w:rsidRPr="00AA166A">
        <w:rPr>
          <w:i/>
          <w:iCs/>
          <w:lang w:val="cs-CZ"/>
        </w:rPr>
        <w:t xml:space="preserve"> a měl by se projevit v </w:t>
      </w:r>
      <w:r w:rsidRPr="00AA166A">
        <w:rPr>
          <w:i/>
          <w:iCs/>
          <w:lang w:val="cs-CZ"/>
        </w:rPr>
        <w:t>předpokládaném nárůstu celkového objemu investic o 15 %.</w:t>
      </w:r>
      <w:r w:rsidR="009D1ED5" w:rsidRPr="00AA166A">
        <w:rPr>
          <w:lang w:val="cs-CZ"/>
        </w:rPr>
        <w:t>“</w:t>
      </w:r>
    </w:p>
    <w:p w14:paraId="0906C742" w14:textId="77777777" w:rsidR="00A5320F" w:rsidRPr="00AA166A" w:rsidRDefault="00A5320F" w:rsidP="001F0A13">
      <w:pPr>
        <w:pStyle w:val="BodyCopy"/>
        <w:rPr>
          <w:rFonts w:ascii="Segoe UI" w:hAnsi="Segoe UI" w:cs="Segoe UI"/>
          <w:color w:val="7F8481"/>
          <w:sz w:val="18"/>
          <w:szCs w:val="18"/>
          <w:lang w:val="cs-CZ" w:eastAsia="cs-CZ"/>
        </w:rPr>
      </w:pPr>
    </w:p>
    <w:p w14:paraId="7420FCF0" w14:textId="6D5D4D70" w:rsidR="00A5320F" w:rsidRPr="00AA166A" w:rsidRDefault="00016F8C" w:rsidP="00A5320F">
      <w:pPr>
        <w:pStyle w:val="BodyCopy"/>
        <w:rPr>
          <w:b/>
          <w:bCs/>
          <w:lang w:val="cs-CZ"/>
        </w:rPr>
      </w:pPr>
      <w:r w:rsidRPr="00AA166A">
        <w:rPr>
          <w:b/>
          <w:bCs/>
          <w:lang w:val="cs-CZ"/>
        </w:rPr>
        <w:t>Segment</w:t>
      </w:r>
      <w:r w:rsidR="00E42F12" w:rsidRPr="00AA166A">
        <w:rPr>
          <w:b/>
          <w:bCs/>
          <w:lang w:val="cs-CZ"/>
        </w:rPr>
        <w:t>u</w:t>
      </w:r>
      <w:r w:rsidRPr="00AA166A">
        <w:rPr>
          <w:b/>
          <w:bCs/>
          <w:lang w:val="cs-CZ"/>
        </w:rPr>
        <w:t xml:space="preserve"> kanceláří</w:t>
      </w:r>
      <w:r w:rsidR="00E42F12" w:rsidRPr="00AA166A">
        <w:rPr>
          <w:b/>
          <w:bCs/>
          <w:lang w:val="cs-CZ"/>
        </w:rPr>
        <w:t xml:space="preserve"> dominují</w:t>
      </w:r>
      <w:r w:rsidR="00A5320F" w:rsidRPr="00AA166A">
        <w:rPr>
          <w:b/>
          <w:bCs/>
          <w:lang w:val="cs-CZ"/>
        </w:rPr>
        <w:t xml:space="preserve"> flexibilní </w:t>
      </w:r>
      <w:r w:rsidRPr="00AA166A">
        <w:rPr>
          <w:b/>
          <w:bCs/>
          <w:lang w:val="cs-CZ"/>
        </w:rPr>
        <w:t>prostory</w:t>
      </w:r>
    </w:p>
    <w:p w14:paraId="57B3C430" w14:textId="5903D6B2" w:rsidR="00E42F12" w:rsidRPr="00AA166A" w:rsidRDefault="00A5320F" w:rsidP="00B8412A">
      <w:pPr>
        <w:pStyle w:val="BodyCopy"/>
        <w:rPr>
          <w:lang w:val="en-GB"/>
        </w:rPr>
      </w:pPr>
      <w:r w:rsidRPr="00AA166A">
        <w:rPr>
          <w:lang w:val="cs-CZ"/>
        </w:rPr>
        <w:t xml:space="preserve">V prvních třech čtvrtletích </w:t>
      </w:r>
      <w:r w:rsidR="00016F8C" w:rsidRPr="00AA166A">
        <w:rPr>
          <w:lang w:val="cs-CZ"/>
        </w:rPr>
        <w:t>letošního roku došlo</w:t>
      </w:r>
      <w:r w:rsidRPr="00AA166A">
        <w:rPr>
          <w:lang w:val="cs-CZ"/>
        </w:rPr>
        <w:t xml:space="preserve"> v</w:t>
      </w:r>
      <w:r w:rsidR="00016F8C" w:rsidRPr="00AA166A">
        <w:rPr>
          <w:lang w:val="cs-CZ"/>
        </w:rPr>
        <w:t> </w:t>
      </w:r>
      <w:r w:rsidRPr="00AA166A">
        <w:rPr>
          <w:lang w:val="cs-CZ"/>
        </w:rPr>
        <w:t>Praze</w:t>
      </w:r>
      <w:r w:rsidR="00016F8C" w:rsidRPr="00AA166A">
        <w:rPr>
          <w:lang w:val="cs-CZ"/>
        </w:rPr>
        <w:t xml:space="preserve">, podobně jako v dalších evropských metropolích, k meziročnímu </w:t>
      </w:r>
      <w:r w:rsidRPr="00AA166A">
        <w:rPr>
          <w:lang w:val="cs-CZ"/>
        </w:rPr>
        <w:t>zpomalení kancelářských pro</w:t>
      </w:r>
      <w:r w:rsidR="00016F8C" w:rsidRPr="00AA166A">
        <w:rPr>
          <w:lang w:val="cs-CZ"/>
        </w:rPr>
        <w:t>nájmů. CBRE očekává, že za celý rok 2023 dojde k meziročnímu p</w:t>
      </w:r>
      <w:r w:rsidRPr="00AA166A">
        <w:rPr>
          <w:lang w:val="cs-CZ"/>
        </w:rPr>
        <w:t>okles</w:t>
      </w:r>
      <w:r w:rsidR="00016F8C" w:rsidRPr="00AA166A">
        <w:rPr>
          <w:lang w:val="cs-CZ"/>
        </w:rPr>
        <w:t xml:space="preserve">u nájemní aktivity </w:t>
      </w:r>
      <w:r w:rsidRPr="00AA166A">
        <w:rPr>
          <w:lang w:val="cs-CZ"/>
        </w:rPr>
        <w:t>o 15</w:t>
      </w:r>
      <w:r w:rsidR="00E42F12" w:rsidRPr="00AA166A">
        <w:rPr>
          <w:lang w:val="cs-CZ"/>
        </w:rPr>
        <w:t xml:space="preserve"> až </w:t>
      </w:r>
      <w:r w:rsidRPr="00AA166A">
        <w:rPr>
          <w:lang w:val="cs-CZ"/>
        </w:rPr>
        <w:t>20 %.</w:t>
      </w:r>
      <w:r w:rsidR="00E42F12" w:rsidRPr="00AA166A">
        <w:rPr>
          <w:lang w:val="cs-CZ"/>
        </w:rPr>
        <w:t xml:space="preserve"> Do budoucna předpokládá, že zájem bude především o kancelář</w:t>
      </w:r>
      <w:r w:rsidR="001519BE" w:rsidRPr="00AA166A">
        <w:rPr>
          <w:lang w:val="cs-CZ"/>
        </w:rPr>
        <w:t xml:space="preserve">e </w:t>
      </w:r>
      <w:r w:rsidR="00E42F12" w:rsidRPr="00AA166A">
        <w:rPr>
          <w:lang w:val="cs-CZ"/>
        </w:rPr>
        <w:t>v projektech s vysokou kvalitou a důrazem na udržitelnost. Navzdory faktu, že</w:t>
      </w:r>
      <w:r w:rsidR="00B53C72">
        <w:rPr>
          <w:lang w:val="cs-CZ"/>
        </w:rPr>
        <w:t> </w:t>
      </w:r>
      <w:r w:rsidR="00E42F12" w:rsidRPr="00AA166A">
        <w:rPr>
          <w:lang w:val="cs-CZ"/>
        </w:rPr>
        <w:t xml:space="preserve">část poptávky bude saturována </w:t>
      </w:r>
      <w:r w:rsidR="001519BE" w:rsidRPr="00AA166A">
        <w:rPr>
          <w:lang w:val="cs-CZ"/>
        </w:rPr>
        <w:t>uvolněnými prostory z druhé ruky</w:t>
      </w:r>
      <w:r w:rsidR="00E42F12" w:rsidRPr="00AA166A">
        <w:rPr>
          <w:lang w:val="cs-CZ"/>
        </w:rPr>
        <w:t xml:space="preserve">, což je trend, který lze pozorovat </w:t>
      </w:r>
      <w:r w:rsidR="00E42F12" w:rsidRPr="00AA166A">
        <w:rPr>
          <w:lang w:val="cs-CZ"/>
        </w:rPr>
        <w:lastRenderedPageBreak/>
        <w:t>zejména u největších nájemců, kte</w:t>
      </w:r>
      <w:r w:rsidR="009E244F" w:rsidRPr="00AA166A">
        <w:rPr>
          <w:lang w:val="cs-CZ"/>
        </w:rPr>
        <w:t>ří</w:t>
      </w:r>
      <w:r w:rsidR="00E42F12" w:rsidRPr="00AA166A">
        <w:rPr>
          <w:lang w:val="cs-CZ"/>
        </w:rPr>
        <w:t xml:space="preserve"> </w:t>
      </w:r>
      <w:r w:rsidR="009E244F" w:rsidRPr="00AA166A">
        <w:rPr>
          <w:lang w:val="cs-CZ"/>
        </w:rPr>
        <w:t xml:space="preserve">své prostory částečně konsolidovali a nevyužité </w:t>
      </w:r>
      <w:r w:rsidR="001519BE" w:rsidRPr="00AA166A">
        <w:rPr>
          <w:lang w:val="cs-CZ"/>
        </w:rPr>
        <w:t xml:space="preserve">vrátili zpět </w:t>
      </w:r>
      <w:r w:rsidR="00B8412A" w:rsidRPr="00AA166A">
        <w:rPr>
          <w:lang w:val="cs-CZ"/>
        </w:rPr>
        <w:t>do</w:t>
      </w:r>
      <w:r w:rsidR="00B53C72">
        <w:rPr>
          <w:lang w:val="cs-CZ"/>
        </w:rPr>
        <w:t> </w:t>
      </w:r>
      <w:r w:rsidR="00B8412A" w:rsidRPr="00AA166A">
        <w:rPr>
          <w:lang w:val="cs-CZ"/>
        </w:rPr>
        <w:t>nabídky.</w:t>
      </w:r>
    </w:p>
    <w:p w14:paraId="597DF562" w14:textId="77777777" w:rsidR="00E42F12" w:rsidRPr="00AA166A" w:rsidRDefault="00E42F12" w:rsidP="008D21E0">
      <w:pPr>
        <w:rPr>
          <w:color w:val="425254" w:themeColor="text1"/>
          <w:lang w:val="en-GB"/>
        </w:rPr>
      </w:pPr>
    </w:p>
    <w:p w14:paraId="6C9573AB" w14:textId="389A8376" w:rsidR="00C15AA5" w:rsidRPr="00AA166A" w:rsidRDefault="00C15AA5" w:rsidP="008D21E0">
      <w:pPr>
        <w:rPr>
          <w:color w:val="425254" w:themeColor="text1"/>
          <w:lang w:val="cs-CZ"/>
        </w:rPr>
      </w:pPr>
      <w:r w:rsidRPr="00AA166A">
        <w:rPr>
          <w:color w:val="425254" w:themeColor="text1"/>
          <w:lang w:val="cs-CZ"/>
        </w:rPr>
        <w:t>V</w:t>
      </w:r>
      <w:r w:rsidR="00B8412A" w:rsidRPr="00AA166A">
        <w:rPr>
          <w:color w:val="425254" w:themeColor="text1"/>
          <w:lang w:val="cs-CZ"/>
        </w:rPr>
        <w:t> </w:t>
      </w:r>
      <w:r w:rsidRPr="00AA166A">
        <w:rPr>
          <w:color w:val="425254" w:themeColor="text1"/>
          <w:lang w:val="cs-CZ"/>
        </w:rPr>
        <w:t>současn</w:t>
      </w:r>
      <w:r w:rsidR="00B8412A" w:rsidRPr="00AA166A">
        <w:rPr>
          <w:color w:val="425254" w:themeColor="text1"/>
          <w:lang w:val="cs-CZ"/>
        </w:rPr>
        <w:t xml:space="preserve">osti </w:t>
      </w:r>
      <w:r w:rsidRPr="00AA166A">
        <w:rPr>
          <w:color w:val="425254" w:themeColor="text1"/>
          <w:lang w:val="cs-CZ"/>
        </w:rPr>
        <w:t xml:space="preserve">vstupuje na pražský kancelářský trh jen několik nových nájemců a ti </w:t>
      </w:r>
      <w:r w:rsidR="00B8412A" w:rsidRPr="00AA166A">
        <w:rPr>
          <w:color w:val="425254" w:themeColor="text1"/>
          <w:lang w:val="cs-CZ"/>
        </w:rPr>
        <w:t xml:space="preserve">většinou </w:t>
      </w:r>
      <w:r w:rsidRPr="00AA166A">
        <w:rPr>
          <w:color w:val="425254" w:themeColor="text1"/>
          <w:lang w:val="cs-CZ"/>
        </w:rPr>
        <w:t>začínají ve</w:t>
      </w:r>
      <w:r w:rsidR="00B53C72">
        <w:rPr>
          <w:color w:val="425254" w:themeColor="text1"/>
          <w:lang w:val="cs-CZ"/>
        </w:rPr>
        <w:t> </w:t>
      </w:r>
      <w:r w:rsidRPr="00AA166A">
        <w:rPr>
          <w:color w:val="425254" w:themeColor="text1"/>
          <w:lang w:val="cs-CZ"/>
        </w:rPr>
        <w:t xml:space="preserve">flexibilních kancelářských prostorách. Trh s flexibilními kancelářemi </w:t>
      </w:r>
      <w:r w:rsidR="00DF4127" w:rsidRPr="00AA166A">
        <w:rPr>
          <w:color w:val="425254" w:themeColor="text1"/>
          <w:lang w:val="cs-CZ"/>
        </w:rPr>
        <w:t xml:space="preserve">v metropoli si přitom vede velmi dobře: zájem ze strany nájemců je velký a poptávka převyšuje </w:t>
      </w:r>
      <w:r w:rsidRPr="00AA166A">
        <w:rPr>
          <w:color w:val="425254" w:themeColor="text1"/>
          <w:lang w:val="cs-CZ"/>
        </w:rPr>
        <w:t xml:space="preserve">nabídku. Provozovatelé se </w:t>
      </w:r>
      <w:r w:rsidR="00DF4127" w:rsidRPr="00AA166A">
        <w:rPr>
          <w:color w:val="425254" w:themeColor="text1"/>
          <w:lang w:val="cs-CZ"/>
        </w:rPr>
        <w:t xml:space="preserve">proto </w:t>
      </w:r>
      <w:r w:rsidRPr="00AA166A">
        <w:rPr>
          <w:color w:val="425254" w:themeColor="text1"/>
          <w:lang w:val="cs-CZ"/>
        </w:rPr>
        <w:t xml:space="preserve">snaží najít vhodné prostory pro expanzi a </w:t>
      </w:r>
      <w:r w:rsidR="00DF4127" w:rsidRPr="00AA166A">
        <w:rPr>
          <w:color w:val="425254" w:themeColor="text1"/>
          <w:lang w:val="cs-CZ"/>
        </w:rPr>
        <w:t xml:space="preserve">CBRE očekává, že </w:t>
      </w:r>
      <w:r w:rsidRPr="00AA166A">
        <w:rPr>
          <w:color w:val="425254" w:themeColor="text1"/>
          <w:lang w:val="cs-CZ"/>
        </w:rPr>
        <w:t xml:space="preserve">vzestup flexibilních kanceláří bude pokračovat </w:t>
      </w:r>
      <w:r w:rsidR="00DF4127" w:rsidRPr="00AA166A">
        <w:rPr>
          <w:color w:val="425254" w:themeColor="text1"/>
          <w:lang w:val="cs-CZ"/>
        </w:rPr>
        <w:t>i v příštím roce</w:t>
      </w:r>
      <w:r w:rsidRPr="00AA166A">
        <w:rPr>
          <w:color w:val="425254" w:themeColor="text1"/>
          <w:lang w:val="cs-CZ"/>
        </w:rPr>
        <w:t>.</w:t>
      </w:r>
    </w:p>
    <w:p w14:paraId="645350E3" w14:textId="77777777" w:rsidR="00C104A3" w:rsidRPr="00AA166A" w:rsidRDefault="00C104A3" w:rsidP="008D21E0">
      <w:pPr>
        <w:rPr>
          <w:color w:val="425254" w:themeColor="text1"/>
          <w:lang w:val="en-GB"/>
        </w:rPr>
      </w:pPr>
    </w:p>
    <w:p w14:paraId="4187CB5F" w14:textId="2E942E73" w:rsidR="002B1101" w:rsidRPr="00AA166A" w:rsidRDefault="002B1101" w:rsidP="008D21E0">
      <w:pPr>
        <w:rPr>
          <w:rFonts w:ascii="Calibre-Regular" w:hAnsi="Calibre-Regular" w:cs="Calibri"/>
          <w:color w:val="435254"/>
          <w:sz w:val="20"/>
          <w:szCs w:val="20"/>
          <w:lang w:val="cs-CZ" w:eastAsia="en-GB"/>
        </w:rPr>
      </w:pPr>
      <w:r w:rsidRPr="00AA166A">
        <w:rPr>
          <w:color w:val="425254" w:themeColor="text1"/>
          <w:lang w:val="cs-CZ"/>
        </w:rPr>
        <w:t xml:space="preserve">Od 3. čtvrtletí 2022 nebyla na </w:t>
      </w:r>
      <w:r w:rsidR="00514AB1" w:rsidRPr="00AA166A">
        <w:rPr>
          <w:color w:val="425254" w:themeColor="text1"/>
          <w:lang w:val="cs-CZ"/>
        </w:rPr>
        <w:t xml:space="preserve">pražském </w:t>
      </w:r>
      <w:r w:rsidRPr="00AA166A">
        <w:rPr>
          <w:color w:val="425254" w:themeColor="text1"/>
          <w:lang w:val="cs-CZ"/>
        </w:rPr>
        <w:t xml:space="preserve">trhu zahájena </w:t>
      </w:r>
      <w:r w:rsidR="00514AB1" w:rsidRPr="00AA166A">
        <w:rPr>
          <w:color w:val="425254" w:themeColor="text1"/>
          <w:lang w:val="cs-CZ"/>
        </w:rPr>
        <w:t xml:space="preserve">výstavba žádného nového kancelářského projektu, takže </w:t>
      </w:r>
      <w:r w:rsidR="008A6EF1" w:rsidRPr="00AA166A">
        <w:rPr>
          <w:color w:val="425254" w:themeColor="text1"/>
          <w:lang w:val="cs-CZ"/>
        </w:rPr>
        <w:t xml:space="preserve">lze předpokládat, že </w:t>
      </w:r>
      <w:r w:rsidRPr="00AA166A">
        <w:rPr>
          <w:color w:val="425254" w:themeColor="text1"/>
          <w:lang w:val="cs-CZ"/>
        </w:rPr>
        <w:t xml:space="preserve">koncem roku 2024 a dále </w:t>
      </w:r>
      <w:r w:rsidR="00514AB1" w:rsidRPr="00AA166A">
        <w:rPr>
          <w:color w:val="425254" w:themeColor="text1"/>
          <w:lang w:val="cs-CZ"/>
        </w:rPr>
        <w:t>v roce</w:t>
      </w:r>
      <w:r w:rsidRPr="00AA166A">
        <w:rPr>
          <w:color w:val="425254" w:themeColor="text1"/>
          <w:lang w:val="cs-CZ"/>
        </w:rPr>
        <w:t xml:space="preserve"> 2025 bude nabídka </w:t>
      </w:r>
      <w:r w:rsidR="00514AB1" w:rsidRPr="00AA166A">
        <w:rPr>
          <w:color w:val="425254" w:themeColor="text1"/>
          <w:lang w:val="cs-CZ"/>
        </w:rPr>
        <w:t>v</w:t>
      </w:r>
      <w:r w:rsidR="00324FE5" w:rsidRPr="00AA166A">
        <w:rPr>
          <w:color w:val="425254" w:themeColor="text1"/>
          <w:lang w:val="cs-CZ"/>
        </w:rPr>
        <w:t>olných</w:t>
      </w:r>
      <w:r w:rsidR="00514AB1" w:rsidRPr="00AA166A">
        <w:rPr>
          <w:color w:val="425254" w:themeColor="text1"/>
          <w:lang w:val="cs-CZ"/>
        </w:rPr>
        <w:t xml:space="preserve"> prostor</w:t>
      </w:r>
      <w:r w:rsidR="008A6EF1" w:rsidRPr="00AA166A">
        <w:rPr>
          <w:color w:val="425254" w:themeColor="text1"/>
          <w:lang w:val="cs-CZ"/>
        </w:rPr>
        <w:t xml:space="preserve"> k pronájmu</w:t>
      </w:r>
      <w:r w:rsidR="00514AB1" w:rsidRPr="00AA166A">
        <w:rPr>
          <w:color w:val="425254" w:themeColor="text1"/>
          <w:lang w:val="cs-CZ"/>
        </w:rPr>
        <w:t xml:space="preserve"> </w:t>
      </w:r>
      <w:r w:rsidRPr="00AA166A">
        <w:rPr>
          <w:color w:val="425254" w:themeColor="text1"/>
          <w:lang w:val="cs-CZ"/>
        </w:rPr>
        <w:t xml:space="preserve">nedostatečná. Zatímco </w:t>
      </w:r>
      <w:r w:rsidR="00514AB1" w:rsidRPr="00AA166A">
        <w:rPr>
          <w:color w:val="425254" w:themeColor="text1"/>
          <w:lang w:val="cs-CZ"/>
        </w:rPr>
        <w:t xml:space="preserve">v příštím roce má být dokončeno </w:t>
      </w:r>
      <w:r w:rsidRPr="00AA166A">
        <w:rPr>
          <w:color w:val="425254" w:themeColor="text1"/>
          <w:lang w:val="cs-CZ"/>
        </w:rPr>
        <w:t>80 000 m</w:t>
      </w:r>
      <w:r w:rsidRPr="00AA166A">
        <w:rPr>
          <w:color w:val="425254" w:themeColor="text1"/>
          <w:vertAlign w:val="superscript"/>
          <w:lang w:val="cs-CZ"/>
        </w:rPr>
        <w:t>2</w:t>
      </w:r>
      <w:r w:rsidR="00514AB1" w:rsidRPr="00AA166A">
        <w:rPr>
          <w:color w:val="425254" w:themeColor="text1"/>
          <w:vertAlign w:val="superscript"/>
          <w:lang w:val="cs-CZ"/>
        </w:rPr>
        <w:t xml:space="preserve"> </w:t>
      </w:r>
      <w:r w:rsidR="00514AB1" w:rsidRPr="00AA166A">
        <w:rPr>
          <w:color w:val="425254" w:themeColor="text1"/>
          <w:lang w:val="cs-CZ"/>
        </w:rPr>
        <w:t>nových kanceláří</w:t>
      </w:r>
      <w:r w:rsidRPr="00AA166A">
        <w:rPr>
          <w:color w:val="425254" w:themeColor="text1"/>
          <w:lang w:val="cs-CZ"/>
        </w:rPr>
        <w:t xml:space="preserve">, </w:t>
      </w:r>
      <w:r w:rsidR="00514AB1" w:rsidRPr="00AA166A">
        <w:rPr>
          <w:color w:val="425254" w:themeColor="text1"/>
          <w:lang w:val="cs-CZ"/>
        </w:rPr>
        <w:t>tak</w:t>
      </w:r>
      <w:r w:rsidR="00B53C72">
        <w:rPr>
          <w:color w:val="425254" w:themeColor="text1"/>
          <w:lang w:val="cs-CZ"/>
        </w:rPr>
        <w:t> </w:t>
      </w:r>
      <w:r w:rsidRPr="00AA166A">
        <w:rPr>
          <w:color w:val="425254" w:themeColor="text1"/>
          <w:lang w:val="cs-CZ"/>
        </w:rPr>
        <w:t>v</w:t>
      </w:r>
      <w:r w:rsidR="00B53C72">
        <w:rPr>
          <w:color w:val="425254" w:themeColor="text1"/>
          <w:lang w:val="cs-CZ"/>
        </w:rPr>
        <w:t> </w:t>
      </w:r>
      <w:r w:rsidRPr="00AA166A">
        <w:rPr>
          <w:color w:val="425254" w:themeColor="text1"/>
          <w:lang w:val="cs-CZ"/>
        </w:rPr>
        <w:t>roce 2025 pouhých 28 000 m</w:t>
      </w:r>
      <w:r w:rsidRPr="00AA166A">
        <w:rPr>
          <w:color w:val="425254" w:themeColor="text1"/>
          <w:vertAlign w:val="superscript"/>
          <w:lang w:val="cs-CZ"/>
        </w:rPr>
        <w:t>2</w:t>
      </w:r>
      <w:r w:rsidRPr="00AA166A">
        <w:rPr>
          <w:color w:val="425254" w:themeColor="text1"/>
          <w:lang w:val="cs-CZ"/>
        </w:rPr>
        <w:t>.</w:t>
      </w:r>
      <w:r w:rsidR="00E74A1F" w:rsidRPr="00AA166A">
        <w:rPr>
          <w:color w:val="425254" w:themeColor="text1"/>
          <w:lang w:val="cs-CZ"/>
        </w:rPr>
        <w:t xml:space="preserve"> Nedávná analýza CBRE ukázala, že nájemci </w:t>
      </w:r>
      <w:r w:rsidR="008A6EF1" w:rsidRPr="00AA166A">
        <w:rPr>
          <w:color w:val="425254" w:themeColor="text1"/>
          <w:lang w:val="cs-CZ"/>
        </w:rPr>
        <w:t xml:space="preserve">v současnosti </w:t>
      </w:r>
      <w:r w:rsidR="00E74A1F" w:rsidRPr="00AA166A">
        <w:rPr>
          <w:color w:val="425254" w:themeColor="text1"/>
          <w:lang w:val="cs-CZ"/>
        </w:rPr>
        <w:t xml:space="preserve">vracejí zpět </w:t>
      </w:r>
      <w:r w:rsidR="008A6EF1" w:rsidRPr="00AA166A">
        <w:rPr>
          <w:color w:val="425254" w:themeColor="text1"/>
          <w:lang w:val="cs-CZ"/>
        </w:rPr>
        <w:t xml:space="preserve">do nabídky </w:t>
      </w:r>
      <w:r w:rsidR="00E74A1F" w:rsidRPr="00AA166A">
        <w:rPr>
          <w:color w:val="425254" w:themeColor="text1"/>
          <w:lang w:val="cs-CZ"/>
        </w:rPr>
        <w:t>cca</w:t>
      </w:r>
      <w:r w:rsidRPr="00AA166A">
        <w:rPr>
          <w:color w:val="435254"/>
          <w:lang w:val="cs-CZ" w:eastAsia="en-GB"/>
        </w:rPr>
        <w:t xml:space="preserve"> 15-20 % </w:t>
      </w:r>
      <w:r w:rsidR="008A6EF1" w:rsidRPr="00AA166A">
        <w:rPr>
          <w:color w:val="435254"/>
          <w:lang w:val="cs-CZ" w:eastAsia="en-GB"/>
        </w:rPr>
        <w:t xml:space="preserve">nevyužívaných </w:t>
      </w:r>
      <w:r w:rsidR="00E74A1F" w:rsidRPr="00AA166A">
        <w:rPr>
          <w:color w:val="435254"/>
          <w:lang w:val="cs-CZ" w:eastAsia="en-GB"/>
        </w:rPr>
        <w:t>prostor, což</w:t>
      </w:r>
      <w:r w:rsidR="008A6EF1" w:rsidRPr="00AA166A">
        <w:rPr>
          <w:color w:val="435254"/>
          <w:lang w:val="cs-CZ" w:eastAsia="en-GB"/>
        </w:rPr>
        <w:t xml:space="preserve"> je</w:t>
      </w:r>
      <w:r w:rsidR="00E74A1F" w:rsidRPr="00AA166A">
        <w:rPr>
          <w:color w:val="435254"/>
          <w:lang w:val="cs-CZ" w:eastAsia="en-GB"/>
        </w:rPr>
        <w:t xml:space="preserve"> trh</w:t>
      </w:r>
      <w:r w:rsidR="008A6EF1" w:rsidRPr="00AA166A">
        <w:rPr>
          <w:color w:val="435254"/>
          <w:lang w:val="cs-CZ" w:eastAsia="en-GB"/>
        </w:rPr>
        <w:t xml:space="preserve"> </w:t>
      </w:r>
      <w:r w:rsidR="00E74A1F" w:rsidRPr="00AA166A">
        <w:rPr>
          <w:color w:val="435254"/>
          <w:lang w:val="cs-CZ" w:eastAsia="en-GB"/>
        </w:rPr>
        <w:t xml:space="preserve">schopen bez věších potíží absorbovat. </w:t>
      </w:r>
      <w:r w:rsidRPr="00AA166A">
        <w:rPr>
          <w:color w:val="435254"/>
          <w:lang w:val="cs-CZ" w:eastAsia="en-GB"/>
        </w:rPr>
        <w:t xml:space="preserve">Omezené </w:t>
      </w:r>
      <w:r w:rsidR="00E74A1F" w:rsidRPr="00AA166A">
        <w:rPr>
          <w:color w:val="435254"/>
          <w:lang w:val="cs-CZ" w:eastAsia="en-GB"/>
        </w:rPr>
        <w:t xml:space="preserve">množství nově dokončených prostor udrží úroveň neobsazenosti </w:t>
      </w:r>
      <w:r w:rsidRPr="00AA166A">
        <w:rPr>
          <w:color w:val="435254"/>
          <w:lang w:val="cs-CZ" w:eastAsia="en-GB"/>
        </w:rPr>
        <w:t>v nadcházejících čtvrtletích kolem 8 %.</w:t>
      </w:r>
    </w:p>
    <w:p w14:paraId="7744B056" w14:textId="77777777" w:rsidR="008D21E0" w:rsidRPr="00AA166A" w:rsidRDefault="008D21E0" w:rsidP="008D21E0">
      <w:pPr>
        <w:rPr>
          <w:rFonts w:ascii="Calibre-Regular" w:hAnsi="Calibre-Regular" w:cs="Calibri"/>
          <w:color w:val="435254"/>
          <w:sz w:val="20"/>
          <w:szCs w:val="20"/>
          <w:lang w:eastAsia="en-GB"/>
        </w:rPr>
      </w:pPr>
    </w:p>
    <w:p w14:paraId="7F233B4E" w14:textId="7B3233F8" w:rsidR="002B1101" w:rsidRPr="00AA166A" w:rsidRDefault="00856A53" w:rsidP="008D21E0">
      <w:pPr>
        <w:rPr>
          <w:color w:val="425254" w:themeColor="text1"/>
          <w:lang w:val="cs-CZ"/>
        </w:rPr>
      </w:pPr>
      <w:r w:rsidRPr="00AA166A">
        <w:rPr>
          <w:color w:val="425254" w:themeColor="text1"/>
          <w:lang w:val="cs-CZ"/>
        </w:rPr>
        <w:t>Nejvyšší dosažitelné nájemné j</w:t>
      </w:r>
      <w:r w:rsidR="002B1101" w:rsidRPr="00AA166A">
        <w:rPr>
          <w:color w:val="425254" w:themeColor="text1"/>
          <w:lang w:val="cs-CZ"/>
        </w:rPr>
        <w:t xml:space="preserve">e stabilní na úrovni 27,50 </w:t>
      </w:r>
      <w:r w:rsidR="00BD2A55" w:rsidRPr="00AA166A">
        <w:rPr>
          <w:color w:val="425254" w:themeColor="text1"/>
          <w:lang w:val="cs-CZ"/>
        </w:rPr>
        <w:t xml:space="preserve">eur za metr čtvereční na měsíc. CBRE </w:t>
      </w:r>
      <w:r w:rsidR="002B1101" w:rsidRPr="00AA166A">
        <w:rPr>
          <w:color w:val="425254" w:themeColor="text1"/>
          <w:lang w:val="cs-CZ"/>
        </w:rPr>
        <w:t>v příštím roce očekává jen nepatrný růst, který bude způsoben především indexací</w:t>
      </w:r>
      <w:r w:rsidR="00BD2A55" w:rsidRPr="00AA166A">
        <w:rPr>
          <w:rStyle w:val="Znakapoznpodarou"/>
          <w:color w:val="425254" w:themeColor="text1"/>
          <w:lang w:val="cs-CZ"/>
        </w:rPr>
        <w:footnoteReference w:id="3"/>
      </w:r>
      <w:r w:rsidR="002B1101" w:rsidRPr="00AA166A">
        <w:rPr>
          <w:color w:val="425254" w:themeColor="text1"/>
          <w:lang w:val="cs-CZ"/>
        </w:rPr>
        <w:t>.</w:t>
      </w:r>
    </w:p>
    <w:p w14:paraId="72DC9333" w14:textId="77777777" w:rsidR="008D21E0" w:rsidRPr="00AA166A" w:rsidRDefault="008D21E0" w:rsidP="008D21E0">
      <w:pPr>
        <w:pStyle w:val="BodyCopy"/>
        <w:rPr>
          <w:lang w:val="en-GB"/>
        </w:rPr>
      </w:pPr>
    </w:p>
    <w:p w14:paraId="2E265C17" w14:textId="370557FE" w:rsidR="002B1101" w:rsidRPr="00AA166A" w:rsidRDefault="002B1101" w:rsidP="008D21E0">
      <w:pPr>
        <w:pStyle w:val="BodyCopy"/>
        <w:rPr>
          <w:i/>
          <w:iCs/>
          <w:lang w:val="cs-CZ"/>
        </w:rPr>
      </w:pPr>
      <w:r w:rsidRPr="00AA166A">
        <w:rPr>
          <w:b/>
          <w:bCs/>
          <w:lang w:val="cs-CZ"/>
        </w:rPr>
        <w:t xml:space="preserve">Simon </w:t>
      </w:r>
      <w:proofErr w:type="spellStart"/>
      <w:r w:rsidRPr="00AA166A">
        <w:rPr>
          <w:b/>
          <w:bCs/>
          <w:lang w:val="cs-CZ"/>
        </w:rPr>
        <w:t>Orr</w:t>
      </w:r>
      <w:proofErr w:type="spellEnd"/>
      <w:r w:rsidRPr="00AA166A">
        <w:rPr>
          <w:b/>
          <w:bCs/>
          <w:lang w:val="cs-CZ"/>
        </w:rPr>
        <w:t xml:space="preserve">, </w:t>
      </w:r>
      <w:r w:rsidR="009D4A63" w:rsidRPr="00AA166A">
        <w:rPr>
          <w:b/>
          <w:bCs/>
          <w:lang w:val="cs-CZ"/>
        </w:rPr>
        <w:t>vedoucí kancelářského sektoru</w:t>
      </w:r>
      <w:r w:rsidR="006810E4" w:rsidRPr="00AA166A">
        <w:rPr>
          <w:b/>
          <w:bCs/>
          <w:lang w:val="cs-CZ"/>
        </w:rPr>
        <w:t xml:space="preserve"> v CBRE</w:t>
      </w:r>
      <w:r w:rsidRPr="00AA166A">
        <w:rPr>
          <w:lang w:val="cs-CZ"/>
        </w:rPr>
        <w:t xml:space="preserve">, </w:t>
      </w:r>
      <w:r w:rsidR="009D4A63" w:rsidRPr="00AA166A">
        <w:rPr>
          <w:lang w:val="cs-CZ"/>
        </w:rPr>
        <w:t>komentuje</w:t>
      </w:r>
      <w:r w:rsidRPr="00AA166A">
        <w:rPr>
          <w:i/>
          <w:iCs/>
          <w:lang w:val="cs-CZ"/>
        </w:rPr>
        <w:t>:</w:t>
      </w:r>
      <w:r w:rsidR="009D1ED5" w:rsidRPr="00AA166A">
        <w:rPr>
          <w:i/>
          <w:iCs/>
          <w:lang w:val="cs-CZ"/>
        </w:rPr>
        <w:t xml:space="preserve"> „</w:t>
      </w:r>
      <w:r w:rsidRPr="00AA166A">
        <w:rPr>
          <w:i/>
          <w:iCs/>
          <w:lang w:val="cs-CZ"/>
        </w:rPr>
        <w:t xml:space="preserve">V důsledku zpomalení nájemních aktivit vidíme v některých lokalitách tlak na zvyšování pobídek. Cena a lokalita jsou pro nájemce hnacími faktory, </w:t>
      </w:r>
      <w:r w:rsidR="009D4A63" w:rsidRPr="00AA166A">
        <w:rPr>
          <w:i/>
          <w:iCs/>
          <w:lang w:val="cs-CZ"/>
        </w:rPr>
        <w:t>nicméně</w:t>
      </w:r>
      <w:r w:rsidRPr="00AA166A">
        <w:rPr>
          <w:i/>
          <w:iCs/>
          <w:lang w:val="cs-CZ"/>
        </w:rPr>
        <w:t xml:space="preserve"> udržitelnost </w:t>
      </w:r>
      <w:r w:rsidR="009D4A63" w:rsidRPr="00AA166A">
        <w:rPr>
          <w:i/>
          <w:iCs/>
          <w:lang w:val="cs-CZ"/>
        </w:rPr>
        <w:t>se stává stále</w:t>
      </w:r>
      <w:r w:rsidRPr="00AA166A">
        <w:rPr>
          <w:i/>
          <w:iCs/>
          <w:lang w:val="cs-CZ"/>
        </w:rPr>
        <w:t xml:space="preserve"> </w:t>
      </w:r>
      <w:r w:rsidR="009D4A63" w:rsidRPr="00AA166A">
        <w:rPr>
          <w:i/>
          <w:iCs/>
          <w:lang w:val="cs-CZ"/>
        </w:rPr>
        <w:t>diskutovanějším tématem</w:t>
      </w:r>
      <w:r w:rsidRPr="00AA166A">
        <w:rPr>
          <w:i/>
          <w:iCs/>
          <w:lang w:val="cs-CZ"/>
        </w:rPr>
        <w:t>. Víme o projektech na</w:t>
      </w:r>
      <w:r w:rsidR="00B53C72">
        <w:rPr>
          <w:i/>
          <w:iCs/>
          <w:lang w:val="cs-CZ"/>
        </w:rPr>
        <w:t> </w:t>
      </w:r>
      <w:r w:rsidRPr="00AA166A">
        <w:rPr>
          <w:i/>
          <w:iCs/>
          <w:lang w:val="cs-CZ"/>
        </w:rPr>
        <w:t>trhu</w:t>
      </w:r>
      <w:r w:rsidR="009D4A63" w:rsidRPr="00AA166A">
        <w:rPr>
          <w:i/>
          <w:iCs/>
          <w:lang w:val="cs-CZ"/>
        </w:rPr>
        <w:t xml:space="preserve">, které již mají stavební povolení, ale s výstavbou začnou až po </w:t>
      </w:r>
      <w:r w:rsidR="008A6EF1" w:rsidRPr="00AA166A">
        <w:rPr>
          <w:i/>
          <w:iCs/>
          <w:lang w:val="cs-CZ"/>
        </w:rPr>
        <w:t>silném</w:t>
      </w:r>
      <w:r w:rsidR="009D4A63" w:rsidRPr="00AA166A">
        <w:rPr>
          <w:i/>
          <w:iCs/>
          <w:lang w:val="cs-CZ"/>
        </w:rPr>
        <w:t xml:space="preserve"> zájmu ze strany potenciálního nájemce anebo </w:t>
      </w:r>
      <w:r w:rsidR="008A6EF1" w:rsidRPr="00AA166A">
        <w:rPr>
          <w:i/>
          <w:iCs/>
          <w:lang w:val="cs-CZ"/>
        </w:rPr>
        <w:t>až po</w:t>
      </w:r>
      <w:r w:rsidR="009D4A63" w:rsidRPr="00AA166A">
        <w:rPr>
          <w:i/>
          <w:iCs/>
          <w:lang w:val="cs-CZ"/>
        </w:rPr>
        <w:t xml:space="preserve"> uzavření </w:t>
      </w:r>
      <w:proofErr w:type="spellStart"/>
      <w:r w:rsidRPr="00AA166A">
        <w:rPr>
          <w:i/>
          <w:iCs/>
          <w:lang w:val="cs-CZ"/>
        </w:rPr>
        <w:t>předpronájmu</w:t>
      </w:r>
      <w:proofErr w:type="spellEnd"/>
      <w:r w:rsidRPr="00AA166A">
        <w:rPr>
          <w:i/>
          <w:iCs/>
          <w:lang w:val="cs-CZ"/>
        </w:rPr>
        <w:t xml:space="preserve">. V příštím roce by se stavební aktivita </w:t>
      </w:r>
      <w:r w:rsidR="008A6EF1" w:rsidRPr="00AA166A">
        <w:rPr>
          <w:i/>
          <w:iCs/>
          <w:lang w:val="cs-CZ"/>
        </w:rPr>
        <w:t xml:space="preserve">měla </w:t>
      </w:r>
      <w:r w:rsidRPr="00AA166A">
        <w:rPr>
          <w:i/>
          <w:iCs/>
          <w:lang w:val="cs-CZ"/>
        </w:rPr>
        <w:t xml:space="preserve">začít </w:t>
      </w:r>
      <w:r w:rsidR="008A6EF1" w:rsidRPr="00AA166A">
        <w:rPr>
          <w:i/>
          <w:iCs/>
          <w:lang w:val="cs-CZ"/>
        </w:rPr>
        <w:t>probouzet</w:t>
      </w:r>
      <w:r w:rsidRPr="00AA166A">
        <w:rPr>
          <w:i/>
          <w:iCs/>
          <w:lang w:val="cs-CZ"/>
        </w:rPr>
        <w:t xml:space="preserve">, nicméně developeři budou </w:t>
      </w:r>
      <w:r w:rsidR="00856A53" w:rsidRPr="00AA166A">
        <w:rPr>
          <w:i/>
          <w:iCs/>
          <w:lang w:val="cs-CZ"/>
        </w:rPr>
        <w:t>v této době v</w:t>
      </w:r>
      <w:r w:rsidRPr="00AA166A">
        <w:rPr>
          <w:i/>
          <w:iCs/>
          <w:lang w:val="cs-CZ"/>
        </w:rPr>
        <w:t>ysokých stavebních nákladů i nadále opatrní.</w:t>
      </w:r>
      <w:r w:rsidR="009D1ED5" w:rsidRPr="00AA166A">
        <w:rPr>
          <w:lang w:val="cs-CZ"/>
        </w:rPr>
        <w:t>“</w:t>
      </w:r>
    </w:p>
    <w:p w14:paraId="35AB82C9" w14:textId="77777777" w:rsidR="008D21E0" w:rsidRPr="00AA166A" w:rsidRDefault="008D21E0" w:rsidP="008D21E0"/>
    <w:p w14:paraId="1F3B8202" w14:textId="3F709BFD" w:rsidR="002B1101" w:rsidRPr="00AA166A" w:rsidRDefault="002B1101" w:rsidP="002B1101">
      <w:pPr>
        <w:pStyle w:val="BodyCopy"/>
        <w:rPr>
          <w:b/>
          <w:bCs/>
          <w:lang w:val="cs-CZ"/>
        </w:rPr>
      </w:pPr>
      <w:r w:rsidRPr="00AA166A">
        <w:rPr>
          <w:b/>
          <w:bCs/>
          <w:lang w:val="cs-CZ"/>
        </w:rPr>
        <w:t>Průmyslový a logistický trh</w:t>
      </w:r>
      <w:r w:rsidR="00B66503" w:rsidRPr="00AA166A">
        <w:rPr>
          <w:b/>
          <w:bCs/>
          <w:lang w:val="cs-CZ"/>
        </w:rPr>
        <w:t xml:space="preserve"> se vrací zpět </w:t>
      </w:r>
      <w:r w:rsidRPr="00AA166A">
        <w:rPr>
          <w:b/>
          <w:bCs/>
          <w:lang w:val="cs-CZ"/>
        </w:rPr>
        <w:t>k normálu</w:t>
      </w:r>
    </w:p>
    <w:p w14:paraId="18A18591" w14:textId="185F5F38" w:rsidR="005317C5" w:rsidRPr="00AA166A" w:rsidRDefault="002B1101" w:rsidP="002B1101">
      <w:pPr>
        <w:pStyle w:val="BodyCopy"/>
        <w:rPr>
          <w:lang w:val="cs-CZ"/>
        </w:rPr>
      </w:pPr>
      <w:r w:rsidRPr="00AA166A">
        <w:rPr>
          <w:lang w:val="cs-CZ"/>
        </w:rPr>
        <w:t xml:space="preserve">Česká republika je </w:t>
      </w:r>
      <w:r w:rsidR="00B66503" w:rsidRPr="00AA166A">
        <w:rPr>
          <w:lang w:val="cs-CZ"/>
        </w:rPr>
        <w:t xml:space="preserve">i nadále </w:t>
      </w:r>
      <w:r w:rsidRPr="00AA166A">
        <w:rPr>
          <w:lang w:val="cs-CZ"/>
        </w:rPr>
        <w:t>vním</w:t>
      </w:r>
      <w:r w:rsidR="00193D32" w:rsidRPr="00AA166A">
        <w:rPr>
          <w:lang w:val="cs-CZ"/>
        </w:rPr>
        <w:t>a</w:t>
      </w:r>
      <w:r w:rsidRPr="00AA166A">
        <w:rPr>
          <w:lang w:val="cs-CZ"/>
        </w:rPr>
        <w:t>n</w:t>
      </w:r>
      <w:r w:rsidR="00193D32" w:rsidRPr="00AA166A">
        <w:rPr>
          <w:lang w:val="cs-CZ"/>
        </w:rPr>
        <w:t>á</w:t>
      </w:r>
      <w:r w:rsidRPr="00AA166A">
        <w:rPr>
          <w:lang w:val="cs-CZ"/>
        </w:rPr>
        <w:t xml:space="preserve"> jako atraktivní lokalita pro mezinárodní nájemce</w:t>
      </w:r>
      <w:r w:rsidR="00B66503" w:rsidRPr="00AA166A">
        <w:rPr>
          <w:lang w:val="cs-CZ"/>
        </w:rPr>
        <w:t>, a to</w:t>
      </w:r>
      <w:r w:rsidRPr="00AA166A">
        <w:rPr>
          <w:lang w:val="cs-CZ"/>
        </w:rPr>
        <w:t xml:space="preserve"> díky své</w:t>
      </w:r>
      <w:r w:rsidR="00B53C72">
        <w:rPr>
          <w:lang w:val="cs-CZ"/>
        </w:rPr>
        <w:t> </w:t>
      </w:r>
      <w:r w:rsidRPr="00AA166A">
        <w:rPr>
          <w:lang w:val="cs-CZ"/>
        </w:rPr>
        <w:t xml:space="preserve">strategické poloze, stabilní politické situaci </w:t>
      </w:r>
      <w:r w:rsidR="00B66503" w:rsidRPr="00AA166A">
        <w:rPr>
          <w:lang w:val="cs-CZ"/>
        </w:rPr>
        <w:t>i</w:t>
      </w:r>
      <w:r w:rsidRPr="00AA166A">
        <w:rPr>
          <w:lang w:val="cs-CZ"/>
        </w:rPr>
        <w:t xml:space="preserve"> kvalifikované pracovní síle</w:t>
      </w:r>
      <w:r w:rsidR="00B66503" w:rsidRPr="00AA166A">
        <w:rPr>
          <w:lang w:val="cs-CZ"/>
        </w:rPr>
        <w:t>. Navíc</w:t>
      </w:r>
      <w:r w:rsidRPr="00AA166A">
        <w:rPr>
          <w:lang w:val="cs-CZ"/>
        </w:rPr>
        <w:t xml:space="preserve"> nájemci </w:t>
      </w:r>
      <w:r w:rsidR="00B66503" w:rsidRPr="00AA166A">
        <w:rPr>
          <w:lang w:val="cs-CZ"/>
        </w:rPr>
        <w:t xml:space="preserve">v současnosti </w:t>
      </w:r>
      <w:r w:rsidRPr="00AA166A">
        <w:rPr>
          <w:lang w:val="cs-CZ"/>
        </w:rPr>
        <w:t xml:space="preserve">přehodnocují své globální dodavatelské řetězce, z čehož může </w:t>
      </w:r>
      <w:r w:rsidR="00B66503" w:rsidRPr="00AA166A">
        <w:rPr>
          <w:lang w:val="cs-CZ"/>
        </w:rPr>
        <w:t>tuzemsko</w:t>
      </w:r>
      <w:r w:rsidRPr="00AA166A">
        <w:rPr>
          <w:lang w:val="cs-CZ"/>
        </w:rPr>
        <w:t xml:space="preserve"> těžit.</w:t>
      </w:r>
    </w:p>
    <w:p w14:paraId="088B9B83" w14:textId="77777777" w:rsidR="002B1101" w:rsidRPr="00AA166A" w:rsidRDefault="002B1101" w:rsidP="002B1101">
      <w:pPr>
        <w:pStyle w:val="BodyCopy"/>
        <w:rPr>
          <w:lang w:val="en-GB"/>
        </w:rPr>
      </w:pPr>
    </w:p>
    <w:p w14:paraId="23AB7FB9" w14:textId="10F562C2" w:rsidR="002B1101" w:rsidRPr="00AA166A" w:rsidRDefault="00B66503" w:rsidP="005317C5">
      <w:pPr>
        <w:pStyle w:val="BodyCopy"/>
        <w:rPr>
          <w:lang w:val="cs-CZ"/>
        </w:rPr>
      </w:pPr>
      <w:r w:rsidRPr="00AA166A">
        <w:rPr>
          <w:lang w:val="cs-CZ"/>
        </w:rPr>
        <w:t>Každopádně p</w:t>
      </w:r>
      <w:r w:rsidR="002B1101" w:rsidRPr="00AA166A">
        <w:rPr>
          <w:lang w:val="cs-CZ"/>
        </w:rPr>
        <w:t>o dvou rekordních letech v počtu nově pronajatých prostor zaznamen</w:t>
      </w:r>
      <w:r w:rsidRPr="00AA166A">
        <w:rPr>
          <w:lang w:val="cs-CZ"/>
        </w:rPr>
        <w:t xml:space="preserve">al </w:t>
      </w:r>
      <w:r w:rsidR="002B1101" w:rsidRPr="00AA166A">
        <w:rPr>
          <w:lang w:val="cs-CZ"/>
        </w:rPr>
        <w:t>český</w:t>
      </w:r>
      <w:r w:rsidRPr="00AA166A">
        <w:rPr>
          <w:lang w:val="cs-CZ"/>
        </w:rPr>
        <w:t xml:space="preserve"> trh průmyslových a logistických nemovitostí </w:t>
      </w:r>
      <w:r w:rsidR="002B1101" w:rsidRPr="00AA166A">
        <w:rPr>
          <w:lang w:val="cs-CZ"/>
        </w:rPr>
        <w:t>zpomalení poptávky, což kopíruje trendy na evropském trhu</w:t>
      </w:r>
      <w:r w:rsidRPr="00AA166A">
        <w:rPr>
          <w:lang w:val="cs-CZ"/>
        </w:rPr>
        <w:t>. V</w:t>
      </w:r>
      <w:r w:rsidR="002B1101" w:rsidRPr="00AA166A">
        <w:rPr>
          <w:lang w:val="cs-CZ"/>
        </w:rPr>
        <w:t xml:space="preserve"> letošním roce by </w:t>
      </w:r>
      <w:r w:rsidR="00856A53" w:rsidRPr="00AA166A">
        <w:rPr>
          <w:lang w:val="cs-CZ"/>
        </w:rPr>
        <w:t xml:space="preserve">čistá </w:t>
      </w:r>
      <w:r w:rsidR="002B1101" w:rsidRPr="00AA166A">
        <w:rPr>
          <w:lang w:val="cs-CZ"/>
        </w:rPr>
        <w:t>poptávka m</w:t>
      </w:r>
      <w:r w:rsidR="00193D32" w:rsidRPr="00AA166A">
        <w:rPr>
          <w:lang w:val="cs-CZ"/>
        </w:rPr>
        <w:t>ěla</w:t>
      </w:r>
      <w:r w:rsidR="002B1101" w:rsidRPr="00AA166A">
        <w:rPr>
          <w:lang w:val="cs-CZ"/>
        </w:rPr>
        <w:t xml:space="preserve"> meziročně klesnout o téměř 40 % na přibližně 900 000 m</w:t>
      </w:r>
      <w:r w:rsidR="002B1101" w:rsidRPr="00AA166A">
        <w:rPr>
          <w:vertAlign w:val="superscript"/>
          <w:lang w:val="cs-CZ"/>
        </w:rPr>
        <w:t>2</w:t>
      </w:r>
      <w:r w:rsidR="002B1101" w:rsidRPr="00AA166A">
        <w:rPr>
          <w:lang w:val="cs-CZ"/>
        </w:rPr>
        <w:t xml:space="preserve"> nově</w:t>
      </w:r>
      <w:r w:rsidR="00B53C72">
        <w:rPr>
          <w:lang w:val="cs-CZ"/>
        </w:rPr>
        <w:t> </w:t>
      </w:r>
      <w:r w:rsidR="002B1101" w:rsidRPr="00AA166A">
        <w:rPr>
          <w:lang w:val="cs-CZ"/>
        </w:rPr>
        <w:t>pronajatých ploch. A právě takovou aktivitu očekává</w:t>
      </w:r>
      <w:r w:rsidRPr="00AA166A">
        <w:rPr>
          <w:lang w:val="cs-CZ"/>
        </w:rPr>
        <w:t xml:space="preserve"> CBRE </w:t>
      </w:r>
      <w:r w:rsidR="002B1101" w:rsidRPr="00AA166A">
        <w:rPr>
          <w:lang w:val="cs-CZ"/>
        </w:rPr>
        <w:t xml:space="preserve">i </w:t>
      </w:r>
      <w:r w:rsidRPr="00AA166A">
        <w:rPr>
          <w:lang w:val="cs-CZ"/>
        </w:rPr>
        <w:t>do</w:t>
      </w:r>
      <w:r w:rsidR="002B1101" w:rsidRPr="00AA166A">
        <w:rPr>
          <w:lang w:val="cs-CZ"/>
        </w:rPr>
        <w:t xml:space="preserve"> budoucn</w:t>
      </w:r>
      <w:r w:rsidRPr="00AA166A">
        <w:rPr>
          <w:lang w:val="cs-CZ"/>
        </w:rPr>
        <w:t xml:space="preserve">a, tedy cca </w:t>
      </w:r>
      <w:r w:rsidR="002B1101" w:rsidRPr="00AA166A">
        <w:rPr>
          <w:lang w:val="cs-CZ"/>
        </w:rPr>
        <w:t>800</w:t>
      </w:r>
      <w:r w:rsidRPr="00AA166A">
        <w:rPr>
          <w:lang w:val="cs-CZ"/>
        </w:rPr>
        <w:t> </w:t>
      </w:r>
      <w:r w:rsidR="002B1101" w:rsidRPr="00AA166A">
        <w:rPr>
          <w:lang w:val="cs-CZ"/>
        </w:rPr>
        <w:t>000</w:t>
      </w:r>
      <w:r w:rsidRPr="00AA166A">
        <w:rPr>
          <w:lang w:val="cs-CZ"/>
        </w:rPr>
        <w:t xml:space="preserve"> až</w:t>
      </w:r>
      <w:r w:rsidR="00B53C72">
        <w:rPr>
          <w:lang w:val="cs-CZ"/>
        </w:rPr>
        <w:t> </w:t>
      </w:r>
      <w:r w:rsidR="002B1101" w:rsidRPr="00AA166A">
        <w:rPr>
          <w:lang w:val="cs-CZ"/>
        </w:rPr>
        <w:t>900 000 m</w:t>
      </w:r>
      <w:r w:rsidR="002B1101" w:rsidRPr="00AA166A">
        <w:rPr>
          <w:vertAlign w:val="superscript"/>
          <w:lang w:val="cs-CZ"/>
        </w:rPr>
        <w:t>2</w:t>
      </w:r>
      <w:r w:rsidR="002B1101" w:rsidRPr="00AA166A">
        <w:rPr>
          <w:lang w:val="cs-CZ"/>
        </w:rPr>
        <w:t xml:space="preserve"> nově pronajatých ploch ročně, což odpovídá pětiletému průměru z doby před příchodem </w:t>
      </w:r>
      <w:r w:rsidRPr="00AA166A">
        <w:rPr>
          <w:lang w:val="cs-CZ"/>
        </w:rPr>
        <w:t>pandemie covidu-19</w:t>
      </w:r>
      <w:r w:rsidR="002B1101" w:rsidRPr="00AA166A">
        <w:rPr>
          <w:lang w:val="cs-CZ"/>
        </w:rPr>
        <w:t>.</w:t>
      </w:r>
    </w:p>
    <w:p w14:paraId="5A2C9A5E" w14:textId="77777777" w:rsidR="005317C5" w:rsidRPr="00AA166A" w:rsidRDefault="005317C5" w:rsidP="005317C5">
      <w:pPr>
        <w:pStyle w:val="BodyCopy"/>
        <w:rPr>
          <w:lang w:val="en-GB"/>
        </w:rPr>
      </w:pPr>
    </w:p>
    <w:p w14:paraId="3509B035" w14:textId="462C377E" w:rsidR="000B13EB" w:rsidRPr="00AA166A" w:rsidRDefault="002B1101" w:rsidP="005317C5">
      <w:pPr>
        <w:pStyle w:val="BodyCopy"/>
        <w:rPr>
          <w:lang w:val="cs-CZ"/>
        </w:rPr>
      </w:pPr>
      <w:r w:rsidRPr="00AA166A">
        <w:rPr>
          <w:lang w:val="cs-CZ"/>
        </w:rPr>
        <w:t xml:space="preserve">Míra neobsazenosti se v prvních třech čtvrtletích roku 2023 mírně zvýšila </w:t>
      </w:r>
      <w:r w:rsidR="000B13EB" w:rsidRPr="00AA166A">
        <w:rPr>
          <w:lang w:val="cs-CZ"/>
        </w:rPr>
        <w:t>na</w:t>
      </w:r>
      <w:r w:rsidRPr="00AA166A">
        <w:rPr>
          <w:lang w:val="cs-CZ"/>
        </w:rPr>
        <w:t xml:space="preserve"> 1,5 %</w:t>
      </w:r>
      <w:r w:rsidR="000B13EB" w:rsidRPr="00AA166A">
        <w:rPr>
          <w:lang w:val="cs-CZ"/>
        </w:rPr>
        <w:t>, ovšem její další růst lze očekávat</w:t>
      </w:r>
      <w:r w:rsidRPr="00AA166A">
        <w:rPr>
          <w:lang w:val="cs-CZ"/>
        </w:rPr>
        <w:t>. V současné době je ve výstavbě rekordní množství</w:t>
      </w:r>
      <w:r w:rsidR="000B13EB" w:rsidRPr="00AA166A">
        <w:rPr>
          <w:lang w:val="cs-CZ"/>
        </w:rPr>
        <w:t xml:space="preserve">, tj. </w:t>
      </w:r>
      <w:r w:rsidRPr="00AA166A">
        <w:rPr>
          <w:lang w:val="cs-CZ"/>
        </w:rPr>
        <w:t>více než 1,4 milionu m</w:t>
      </w:r>
      <w:r w:rsidRPr="00AA166A">
        <w:rPr>
          <w:vertAlign w:val="superscript"/>
          <w:lang w:val="cs-CZ"/>
        </w:rPr>
        <w:t>2</w:t>
      </w:r>
      <w:r w:rsidR="000B13EB" w:rsidRPr="00AA166A">
        <w:rPr>
          <w:vertAlign w:val="superscript"/>
          <w:lang w:val="cs-CZ"/>
        </w:rPr>
        <w:t xml:space="preserve"> </w:t>
      </w:r>
      <w:r w:rsidR="000B13EB" w:rsidRPr="00AA166A">
        <w:rPr>
          <w:lang w:val="cs-CZ"/>
        </w:rPr>
        <w:t>nových prostor a v</w:t>
      </w:r>
      <w:r w:rsidRPr="00AA166A">
        <w:rPr>
          <w:lang w:val="cs-CZ"/>
        </w:rPr>
        <w:t xml:space="preserve">íce než 40 % </w:t>
      </w:r>
      <w:r w:rsidR="000B13EB" w:rsidRPr="00AA166A">
        <w:rPr>
          <w:lang w:val="cs-CZ"/>
        </w:rPr>
        <w:t>z nich je stavěno</w:t>
      </w:r>
      <w:r w:rsidRPr="00AA166A">
        <w:rPr>
          <w:lang w:val="cs-CZ"/>
        </w:rPr>
        <w:t xml:space="preserve"> spekulativně. </w:t>
      </w:r>
      <w:r w:rsidR="000B13EB" w:rsidRPr="00AA166A">
        <w:rPr>
          <w:lang w:val="cs-CZ"/>
        </w:rPr>
        <w:t xml:space="preserve">CBRE </w:t>
      </w:r>
      <w:r w:rsidR="009F2423" w:rsidRPr="00AA166A">
        <w:rPr>
          <w:lang w:val="cs-CZ"/>
        </w:rPr>
        <w:t>současně</w:t>
      </w:r>
      <w:r w:rsidR="000B13EB" w:rsidRPr="00AA166A">
        <w:rPr>
          <w:lang w:val="cs-CZ"/>
        </w:rPr>
        <w:t xml:space="preserve"> eviduje rostoucí počet nevyužitých ploch, které jsou nabízeny k podnájmu anebo se nacházejí v objektech, které jsou </w:t>
      </w:r>
      <w:r w:rsidR="009F2423" w:rsidRPr="00AA166A">
        <w:rPr>
          <w:lang w:val="cs-CZ"/>
        </w:rPr>
        <w:t xml:space="preserve">formálně </w:t>
      </w:r>
      <w:r w:rsidR="009F2423" w:rsidRPr="00AA166A">
        <w:rPr>
          <w:lang w:val="cs-CZ"/>
        </w:rPr>
        <w:lastRenderedPageBreak/>
        <w:t>považované za nedokončené (i když se nacházejí ve finální fázi výstavby), a to až do chvíle, dokud</w:t>
      </w:r>
      <w:r w:rsidR="00B53C72">
        <w:rPr>
          <w:lang w:val="cs-CZ"/>
        </w:rPr>
        <w:t> </w:t>
      </w:r>
      <w:r w:rsidR="000B13EB" w:rsidRPr="00AA166A">
        <w:rPr>
          <w:lang w:val="cs-CZ"/>
        </w:rPr>
        <w:t>nenaleznou své nájemce.</w:t>
      </w:r>
    </w:p>
    <w:p w14:paraId="225144A5" w14:textId="77777777" w:rsidR="000B13EB" w:rsidRPr="00AA166A" w:rsidRDefault="000B13EB" w:rsidP="005317C5">
      <w:pPr>
        <w:pStyle w:val="BodyCopy"/>
        <w:rPr>
          <w:lang w:val="cs-CZ"/>
        </w:rPr>
      </w:pPr>
    </w:p>
    <w:p w14:paraId="10F041CD" w14:textId="299A28AC" w:rsidR="002B1101" w:rsidRPr="00AA166A" w:rsidRDefault="002B1101" w:rsidP="005317C5">
      <w:pPr>
        <w:pStyle w:val="BodyCopy"/>
        <w:rPr>
          <w:i/>
          <w:iCs/>
          <w:lang w:val="cs-CZ"/>
        </w:rPr>
      </w:pPr>
      <w:r w:rsidRPr="00AA166A">
        <w:rPr>
          <w:b/>
          <w:bCs/>
          <w:lang w:val="cs-CZ"/>
        </w:rPr>
        <w:t xml:space="preserve">Jan </w:t>
      </w:r>
      <w:proofErr w:type="spellStart"/>
      <w:r w:rsidRPr="00AA166A">
        <w:rPr>
          <w:b/>
          <w:bCs/>
          <w:lang w:val="cs-CZ"/>
        </w:rPr>
        <w:t>Hřivnacký</w:t>
      </w:r>
      <w:proofErr w:type="spellEnd"/>
      <w:r w:rsidRPr="00AA166A">
        <w:rPr>
          <w:b/>
          <w:bCs/>
          <w:lang w:val="cs-CZ"/>
        </w:rPr>
        <w:t xml:space="preserve">, </w:t>
      </w:r>
      <w:r w:rsidR="00161E9C" w:rsidRPr="00AA166A">
        <w:rPr>
          <w:b/>
          <w:bCs/>
          <w:lang w:val="cs-CZ"/>
        </w:rPr>
        <w:t>vedoucí pronájmů industriálních nemovitostí</w:t>
      </w:r>
      <w:r w:rsidR="006810E4" w:rsidRPr="00AA166A">
        <w:rPr>
          <w:b/>
          <w:bCs/>
          <w:lang w:val="cs-CZ"/>
        </w:rPr>
        <w:t xml:space="preserve"> v CBRE</w:t>
      </w:r>
      <w:r w:rsidRPr="00AA166A">
        <w:rPr>
          <w:lang w:val="cs-CZ"/>
        </w:rPr>
        <w:t xml:space="preserve">, </w:t>
      </w:r>
      <w:r w:rsidR="00161E9C" w:rsidRPr="00AA166A">
        <w:rPr>
          <w:lang w:val="cs-CZ"/>
        </w:rPr>
        <w:t>říká</w:t>
      </w:r>
      <w:r w:rsidRPr="00AA166A">
        <w:rPr>
          <w:lang w:val="cs-CZ"/>
        </w:rPr>
        <w:t>:</w:t>
      </w:r>
      <w:r w:rsidR="009D1ED5" w:rsidRPr="00AA166A">
        <w:rPr>
          <w:lang w:val="cs-CZ"/>
        </w:rPr>
        <w:t xml:space="preserve"> „</w:t>
      </w:r>
      <w:r w:rsidRPr="00AA166A">
        <w:rPr>
          <w:i/>
          <w:iCs/>
          <w:lang w:val="cs-CZ"/>
        </w:rPr>
        <w:t>V současné době sledujeme strukturální změny v poptávce. Roste význam výrobních společností, které s</w:t>
      </w:r>
      <w:r w:rsidR="006810E4" w:rsidRPr="00AA166A">
        <w:rPr>
          <w:i/>
          <w:iCs/>
          <w:lang w:val="cs-CZ"/>
        </w:rPr>
        <w:t>i</w:t>
      </w:r>
      <w:r w:rsidRPr="00AA166A">
        <w:rPr>
          <w:i/>
          <w:iCs/>
          <w:lang w:val="cs-CZ"/>
        </w:rPr>
        <w:t xml:space="preserve"> v prvních třech čtvrtletích </w:t>
      </w:r>
      <w:r w:rsidR="006810E4" w:rsidRPr="00AA166A">
        <w:rPr>
          <w:i/>
          <w:iCs/>
          <w:lang w:val="cs-CZ"/>
        </w:rPr>
        <w:t xml:space="preserve">letošního roku pronajaly </w:t>
      </w:r>
      <w:r w:rsidRPr="00AA166A">
        <w:rPr>
          <w:i/>
          <w:iCs/>
          <w:lang w:val="cs-CZ"/>
        </w:rPr>
        <w:t>téměř 50 %</w:t>
      </w:r>
      <w:r w:rsidR="006810E4" w:rsidRPr="00AA166A">
        <w:rPr>
          <w:i/>
          <w:iCs/>
          <w:lang w:val="cs-CZ"/>
        </w:rPr>
        <w:t xml:space="preserve"> prostor</w:t>
      </w:r>
      <w:r w:rsidRPr="00AA166A">
        <w:rPr>
          <w:i/>
          <w:iCs/>
          <w:lang w:val="cs-CZ"/>
        </w:rPr>
        <w:t>, zatímco v celkových číslech je patrné zpomalení poptávky ze strany e-</w:t>
      </w:r>
      <w:proofErr w:type="spellStart"/>
      <w:r w:rsidRPr="00AA166A">
        <w:rPr>
          <w:i/>
          <w:iCs/>
          <w:lang w:val="cs-CZ"/>
        </w:rPr>
        <w:t>commerce</w:t>
      </w:r>
      <w:proofErr w:type="spellEnd"/>
      <w:r w:rsidRPr="00AA166A">
        <w:rPr>
          <w:i/>
          <w:iCs/>
          <w:lang w:val="cs-CZ"/>
        </w:rPr>
        <w:t xml:space="preserve"> a </w:t>
      </w:r>
      <w:r w:rsidR="006810E4" w:rsidRPr="00AA166A">
        <w:rPr>
          <w:i/>
          <w:iCs/>
          <w:lang w:val="cs-CZ"/>
        </w:rPr>
        <w:t>logistických</w:t>
      </w:r>
      <w:r w:rsidRPr="00AA166A">
        <w:rPr>
          <w:i/>
          <w:iCs/>
          <w:lang w:val="cs-CZ"/>
        </w:rPr>
        <w:t xml:space="preserve"> společností. Nájemné v </w:t>
      </w:r>
      <w:r w:rsidR="006810E4" w:rsidRPr="00AA166A">
        <w:rPr>
          <w:i/>
          <w:iCs/>
          <w:lang w:val="cs-CZ"/>
        </w:rPr>
        <w:t>prémiových</w:t>
      </w:r>
      <w:r w:rsidRPr="00AA166A">
        <w:rPr>
          <w:i/>
          <w:iCs/>
          <w:lang w:val="cs-CZ"/>
        </w:rPr>
        <w:t xml:space="preserve"> prostorách se</w:t>
      </w:r>
      <w:r w:rsidR="00B53C72">
        <w:rPr>
          <w:i/>
          <w:iCs/>
          <w:lang w:val="cs-CZ"/>
        </w:rPr>
        <w:t> </w:t>
      </w:r>
      <w:r w:rsidRPr="00AA166A">
        <w:rPr>
          <w:i/>
          <w:iCs/>
          <w:lang w:val="cs-CZ"/>
        </w:rPr>
        <w:t>v</w:t>
      </w:r>
      <w:r w:rsidR="00B53C72">
        <w:rPr>
          <w:i/>
          <w:iCs/>
          <w:lang w:val="cs-CZ"/>
        </w:rPr>
        <w:t> </w:t>
      </w:r>
      <w:r w:rsidRPr="00AA166A">
        <w:rPr>
          <w:i/>
          <w:iCs/>
          <w:lang w:val="cs-CZ"/>
        </w:rPr>
        <w:t>současné době pohybuje na úrovni 7,55 eur</w:t>
      </w:r>
      <w:r w:rsidR="006810E4" w:rsidRPr="00AA166A">
        <w:rPr>
          <w:i/>
          <w:iCs/>
          <w:lang w:val="cs-CZ"/>
        </w:rPr>
        <w:t xml:space="preserve"> za metr čtvereční na m</w:t>
      </w:r>
      <w:r w:rsidRPr="00AA166A">
        <w:rPr>
          <w:i/>
          <w:iCs/>
          <w:lang w:val="cs-CZ"/>
        </w:rPr>
        <w:t>ěsíc</w:t>
      </w:r>
      <w:r w:rsidR="002F4155" w:rsidRPr="00AA166A">
        <w:rPr>
          <w:i/>
          <w:iCs/>
          <w:lang w:val="cs-CZ"/>
        </w:rPr>
        <w:t xml:space="preserve">, přičemž </w:t>
      </w:r>
      <w:r w:rsidRPr="00AA166A">
        <w:rPr>
          <w:i/>
          <w:iCs/>
          <w:lang w:val="cs-CZ"/>
        </w:rPr>
        <w:t xml:space="preserve">v příštím roce očekáváme pouze mírný růst způsobený inflací. V některých nejvíce konkurenčních regionech bychom </w:t>
      </w:r>
      <w:r w:rsidR="00B57E06" w:rsidRPr="00AA166A">
        <w:rPr>
          <w:i/>
          <w:iCs/>
          <w:lang w:val="cs-CZ"/>
        </w:rPr>
        <w:t xml:space="preserve">naopak </w:t>
      </w:r>
      <w:r w:rsidRPr="00AA166A">
        <w:rPr>
          <w:i/>
          <w:iCs/>
          <w:lang w:val="cs-CZ"/>
        </w:rPr>
        <w:t>mohli zaznamenat tlak na snižování výše nájemného</w:t>
      </w:r>
      <w:r w:rsidR="009D1ED5" w:rsidRPr="00AA166A">
        <w:rPr>
          <w:i/>
          <w:iCs/>
          <w:lang w:val="cs-CZ"/>
        </w:rPr>
        <w:t>.</w:t>
      </w:r>
      <w:r w:rsidR="009D1ED5" w:rsidRPr="00AA166A">
        <w:rPr>
          <w:lang w:val="cs-CZ"/>
        </w:rPr>
        <w:t>“</w:t>
      </w:r>
    </w:p>
    <w:p w14:paraId="14E78503" w14:textId="77777777" w:rsidR="005317C5" w:rsidRPr="00AA166A" w:rsidRDefault="005317C5" w:rsidP="005317C5">
      <w:pPr>
        <w:pStyle w:val="BodyCopy"/>
        <w:rPr>
          <w:lang w:val="en-GB"/>
        </w:rPr>
      </w:pPr>
    </w:p>
    <w:p w14:paraId="6EDE6AA9" w14:textId="220EF93D" w:rsidR="002B1101" w:rsidRPr="00AA166A" w:rsidRDefault="006C1E05" w:rsidP="002B1101">
      <w:pPr>
        <w:rPr>
          <w:b/>
          <w:bCs/>
          <w:color w:val="425254"/>
          <w:lang w:val="cs-CZ"/>
        </w:rPr>
      </w:pPr>
      <w:r w:rsidRPr="00AA166A">
        <w:rPr>
          <w:b/>
          <w:bCs/>
          <w:color w:val="425254"/>
          <w:lang w:val="cs-CZ"/>
        </w:rPr>
        <w:t>Hlavním tahounem m</w:t>
      </w:r>
      <w:r w:rsidR="002B1101" w:rsidRPr="00AA166A">
        <w:rPr>
          <w:b/>
          <w:bCs/>
          <w:color w:val="425254"/>
          <w:lang w:val="cs-CZ"/>
        </w:rPr>
        <w:t>aloobchod</w:t>
      </w:r>
      <w:r w:rsidR="00446851" w:rsidRPr="00AA166A">
        <w:rPr>
          <w:b/>
          <w:bCs/>
          <w:color w:val="425254"/>
          <w:lang w:val="cs-CZ"/>
        </w:rPr>
        <w:t xml:space="preserve">u </w:t>
      </w:r>
      <w:r w:rsidRPr="00AA166A">
        <w:rPr>
          <w:b/>
          <w:bCs/>
          <w:color w:val="425254"/>
          <w:lang w:val="cs-CZ"/>
        </w:rPr>
        <w:t xml:space="preserve">je </w:t>
      </w:r>
      <w:r w:rsidR="002B1101" w:rsidRPr="00AA166A">
        <w:rPr>
          <w:b/>
          <w:bCs/>
          <w:color w:val="425254"/>
          <w:lang w:val="cs-CZ"/>
        </w:rPr>
        <w:t>inflace</w:t>
      </w:r>
    </w:p>
    <w:p w14:paraId="51D7B173" w14:textId="53BE0010" w:rsidR="002B1101" w:rsidRPr="00AA166A" w:rsidRDefault="00446851" w:rsidP="002B1101">
      <w:pPr>
        <w:rPr>
          <w:color w:val="425254"/>
          <w:lang w:val="cs-CZ"/>
        </w:rPr>
      </w:pPr>
      <w:r w:rsidRPr="00AA166A">
        <w:rPr>
          <w:color w:val="425254"/>
          <w:lang w:val="cs-CZ"/>
        </w:rPr>
        <w:t>Za letošním r</w:t>
      </w:r>
      <w:r w:rsidR="002B1101" w:rsidRPr="00AA166A">
        <w:rPr>
          <w:color w:val="425254"/>
          <w:lang w:val="cs-CZ"/>
        </w:rPr>
        <w:t>ozvoj</w:t>
      </w:r>
      <w:r w:rsidRPr="00AA166A">
        <w:rPr>
          <w:color w:val="425254"/>
          <w:lang w:val="cs-CZ"/>
        </w:rPr>
        <w:t>em</w:t>
      </w:r>
      <w:r w:rsidR="002B1101" w:rsidRPr="00AA166A">
        <w:rPr>
          <w:color w:val="425254"/>
          <w:lang w:val="cs-CZ"/>
        </w:rPr>
        <w:t xml:space="preserve"> maloobchod</w:t>
      </w:r>
      <w:r w:rsidRPr="00AA166A">
        <w:rPr>
          <w:color w:val="425254"/>
          <w:lang w:val="cs-CZ"/>
        </w:rPr>
        <w:t>ního trhu</w:t>
      </w:r>
      <w:r w:rsidR="002B1101" w:rsidRPr="00AA166A">
        <w:rPr>
          <w:color w:val="425254"/>
          <w:lang w:val="cs-CZ"/>
        </w:rPr>
        <w:t xml:space="preserve"> v</w:t>
      </w:r>
      <w:r w:rsidRPr="00AA166A">
        <w:rPr>
          <w:color w:val="425254"/>
          <w:lang w:val="cs-CZ"/>
        </w:rPr>
        <w:t xml:space="preserve"> tuzemsku stojí </w:t>
      </w:r>
      <w:r w:rsidR="002B1101" w:rsidRPr="00AA166A">
        <w:rPr>
          <w:color w:val="425254"/>
          <w:lang w:val="cs-CZ"/>
        </w:rPr>
        <w:t>pouze výstavb</w:t>
      </w:r>
      <w:r w:rsidRPr="00AA166A">
        <w:rPr>
          <w:color w:val="425254"/>
          <w:lang w:val="cs-CZ"/>
        </w:rPr>
        <w:t xml:space="preserve">a retailových </w:t>
      </w:r>
      <w:r w:rsidR="002B1101" w:rsidRPr="00AA166A">
        <w:rPr>
          <w:color w:val="425254"/>
          <w:lang w:val="cs-CZ"/>
        </w:rPr>
        <w:t>parků. N</w:t>
      </w:r>
      <w:r w:rsidRPr="00AA166A">
        <w:rPr>
          <w:color w:val="425254"/>
          <w:lang w:val="cs-CZ"/>
        </w:rPr>
        <w:t>icméně ještě v závěru roku</w:t>
      </w:r>
      <w:r w:rsidR="002B1101" w:rsidRPr="00AA166A">
        <w:rPr>
          <w:color w:val="425254"/>
          <w:lang w:val="cs-CZ"/>
        </w:rPr>
        <w:t xml:space="preserve"> byl</w:t>
      </w:r>
      <w:r w:rsidRPr="00AA166A">
        <w:rPr>
          <w:color w:val="425254"/>
          <w:lang w:val="cs-CZ"/>
        </w:rPr>
        <w:t>a zahájena rekonstrukce</w:t>
      </w:r>
      <w:r w:rsidR="002B1101" w:rsidRPr="00AA166A">
        <w:rPr>
          <w:color w:val="425254"/>
          <w:lang w:val="cs-CZ"/>
        </w:rPr>
        <w:t xml:space="preserve"> </w:t>
      </w:r>
      <w:r w:rsidRPr="00AA166A">
        <w:rPr>
          <w:color w:val="425254"/>
          <w:lang w:val="cs-CZ"/>
        </w:rPr>
        <w:t xml:space="preserve">a rozšíření </w:t>
      </w:r>
      <w:r w:rsidR="002B1101" w:rsidRPr="00AA166A">
        <w:rPr>
          <w:color w:val="425254"/>
          <w:lang w:val="cs-CZ"/>
        </w:rPr>
        <w:t xml:space="preserve">jednoho obchodního centra, </w:t>
      </w:r>
      <w:r w:rsidRPr="00AA166A">
        <w:rPr>
          <w:color w:val="425254"/>
          <w:lang w:val="cs-CZ"/>
        </w:rPr>
        <w:t xml:space="preserve">konkrétně OC </w:t>
      </w:r>
      <w:proofErr w:type="spellStart"/>
      <w:r w:rsidR="002B1101" w:rsidRPr="00AA166A">
        <w:rPr>
          <w:color w:val="425254"/>
          <w:lang w:val="cs-CZ"/>
        </w:rPr>
        <w:t>Vary</w:t>
      </w:r>
      <w:r w:rsidRPr="00AA166A">
        <w:rPr>
          <w:color w:val="425254"/>
          <w:lang w:val="cs-CZ"/>
        </w:rPr>
        <w:t>áda</w:t>
      </w:r>
      <w:proofErr w:type="spellEnd"/>
      <w:r w:rsidR="002B1101" w:rsidRPr="00AA166A">
        <w:rPr>
          <w:color w:val="425254"/>
          <w:lang w:val="cs-CZ"/>
        </w:rPr>
        <w:t xml:space="preserve"> v Karlových Varech</w:t>
      </w:r>
      <w:r w:rsidRPr="00AA166A">
        <w:rPr>
          <w:color w:val="425254"/>
          <w:lang w:val="cs-CZ"/>
        </w:rPr>
        <w:t xml:space="preserve">. </w:t>
      </w:r>
      <w:r w:rsidR="002B1101" w:rsidRPr="00AA166A">
        <w:rPr>
          <w:color w:val="425254"/>
          <w:lang w:val="cs-CZ"/>
        </w:rPr>
        <w:t>V příštím roce se očekává, že zahájení výstavby oznámí další tři až čtyři obchodní centra.</w:t>
      </w:r>
    </w:p>
    <w:p w14:paraId="5AB7D2A4" w14:textId="77777777" w:rsidR="005317C5" w:rsidRPr="00AA166A" w:rsidRDefault="005317C5" w:rsidP="005317C5">
      <w:pPr>
        <w:rPr>
          <w:color w:val="425254"/>
          <w:lang w:val="en-GB"/>
        </w:rPr>
      </w:pPr>
    </w:p>
    <w:p w14:paraId="5C8E9B2C" w14:textId="6856E2E1" w:rsidR="002B1101" w:rsidRPr="00AA166A" w:rsidRDefault="002B1101" w:rsidP="005317C5">
      <w:pPr>
        <w:rPr>
          <w:color w:val="425254"/>
          <w:lang w:val="cs-CZ"/>
        </w:rPr>
      </w:pPr>
      <w:r w:rsidRPr="00AA166A">
        <w:rPr>
          <w:color w:val="425254"/>
          <w:lang w:val="cs-CZ"/>
        </w:rPr>
        <w:t xml:space="preserve">Navzdory zlepšující se důvěře zůstávají spotřebitelé opatrní a citliví na ceny </w:t>
      </w:r>
      <w:r w:rsidR="006B6036" w:rsidRPr="00AA166A">
        <w:rPr>
          <w:color w:val="425254"/>
          <w:lang w:val="cs-CZ"/>
        </w:rPr>
        <w:t>s</w:t>
      </w:r>
      <w:r w:rsidRPr="00AA166A">
        <w:rPr>
          <w:color w:val="425254"/>
          <w:lang w:val="cs-CZ"/>
        </w:rPr>
        <w:t xml:space="preserve"> tendenc</w:t>
      </w:r>
      <w:r w:rsidR="006B6036" w:rsidRPr="00AA166A">
        <w:rPr>
          <w:color w:val="425254"/>
          <w:lang w:val="cs-CZ"/>
        </w:rPr>
        <w:t>í</w:t>
      </w:r>
      <w:r w:rsidRPr="00AA166A">
        <w:rPr>
          <w:color w:val="425254"/>
          <w:lang w:val="cs-CZ"/>
        </w:rPr>
        <w:t xml:space="preserve"> šetřit. Návštěvnost nákupních center stále nedos</w:t>
      </w:r>
      <w:r w:rsidR="006B6036" w:rsidRPr="00AA166A">
        <w:rPr>
          <w:color w:val="425254"/>
          <w:lang w:val="cs-CZ"/>
        </w:rPr>
        <w:t>ahuje</w:t>
      </w:r>
      <w:r w:rsidRPr="00AA166A">
        <w:rPr>
          <w:color w:val="425254"/>
          <w:lang w:val="cs-CZ"/>
        </w:rPr>
        <w:t xml:space="preserve"> úrovně před pandemií a ustálila se na 5-10 % pod úrovní roku 2019. </w:t>
      </w:r>
      <w:r w:rsidR="00856A53" w:rsidRPr="00AA166A">
        <w:rPr>
          <w:color w:val="425254"/>
          <w:lang w:val="cs-CZ"/>
        </w:rPr>
        <w:t xml:space="preserve">To může implikovat dlouhodobou změnu zákaznického chování a novou průměrnou úroveň návštěvnosti. </w:t>
      </w:r>
      <w:r w:rsidR="006B6036" w:rsidRPr="00AA166A">
        <w:rPr>
          <w:color w:val="425254"/>
          <w:lang w:val="cs-CZ"/>
        </w:rPr>
        <w:t>Zatímco</w:t>
      </w:r>
      <w:r w:rsidRPr="00AA166A">
        <w:rPr>
          <w:color w:val="425254"/>
          <w:lang w:val="cs-CZ"/>
        </w:rPr>
        <w:t xml:space="preserve"> obraty v nákupních centrech </w:t>
      </w:r>
      <w:r w:rsidR="006B6036" w:rsidRPr="00AA166A">
        <w:rPr>
          <w:color w:val="425254"/>
          <w:lang w:val="cs-CZ"/>
        </w:rPr>
        <w:t xml:space="preserve">zaznamenaly </w:t>
      </w:r>
      <w:r w:rsidRPr="00AA166A">
        <w:rPr>
          <w:color w:val="425254"/>
          <w:lang w:val="cs-CZ"/>
        </w:rPr>
        <w:t xml:space="preserve">vlivem vysoké inflace přibližně 20% </w:t>
      </w:r>
      <w:r w:rsidR="006B6036" w:rsidRPr="00AA166A">
        <w:rPr>
          <w:color w:val="425254"/>
          <w:lang w:val="cs-CZ"/>
        </w:rPr>
        <w:t>nárůst oproti roku</w:t>
      </w:r>
      <w:r w:rsidRPr="00AA166A">
        <w:rPr>
          <w:color w:val="425254"/>
          <w:lang w:val="cs-CZ"/>
        </w:rPr>
        <w:t xml:space="preserve"> 2019, reálné maloobchodní </w:t>
      </w:r>
      <w:r w:rsidR="006B6036" w:rsidRPr="00AA166A">
        <w:rPr>
          <w:color w:val="425254"/>
          <w:lang w:val="cs-CZ"/>
        </w:rPr>
        <w:t>tržby</w:t>
      </w:r>
      <w:r w:rsidRPr="00AA166A">
        <w:rPr>
          <w:color w:val="425254"/>
          <w:lang w:val="cs-CZ"/>
        </w:rPr>
        <w:t xml:space="preserve"> by v roce 2023 </w:t>
      </w:r>
      <w:r w:rsidR="00B67D4B" w:rsidRPr="00AA166A">
        <w:rPr>
          <w:color w:val="425254"/>
          <w:lang w:val="cs-CZ"/>
        </w:rPr>
        <w:t xml:space="preserve">měly být </w:t>
      </w:r>
      <w:r w:rsidRPr="00AA166A">
        <w:rPr>
          <w:color w:val="425254"/>
          <w:lang w:val="cs-CZ"/>
        </w:rPr>
        <w:t>o více než 5 % nižší než</w:t>
      </w:r>
      <w:r w:rsidR="00B53C72">
        <w:rPr>
          <w:color w:val="425254"/>
          <w:lang w:val="cs-CZ"/>
        </w:rPr>
        <w:t> </w:t>
      </w:r>
      <w:r w:rsidRPr="00AA166A">
        <w:rPr>
          <w:color w:val="425254"/>
          <w:lang w:val="cs-CZ"/>
        </w:rPr>
        <w:t>v</w:t>
      </w:r>
      <w:r w:rsidR="00B53C72">
        <w:rPr>
          <w:color w:val="425254"/>
          <w:lang w:val="cs-CZ"/>
        </w:rPr>
        <w:t> </w:t>
      </w:r>
      <w:r w:rsidRPr="00AA166A">
        <w:rPr>
          <w:color w:val="425254"/>
          <w:lang w:val="cs-CZ"/>
        </w:rPr>
        <w:t xml:space="preserve">roce 2019. </w:t>
      </w:r>
      <w:r w:rsidR="002F4155" w:rsidRPr="00AA166A">
        <w:rPr>
          <w:color w:val="425254"/>
          <w:lang w:val="cs-CZ"/>
        </w:rPr>
        <w:t>Ovšem a</w:t>
      </w:r>
      <w:r w:rsidR="0058468A" w:rsidRPr="00AA166A">
        <w:rPr>
          <w:color w:val="425254"/>
          <w:lang w:val="cs-CZ"/>
        </w:rPr>
        <w:t>ktuální</w:t>
      </w:r>
      <w:r w:rsidRPr="00AA166A">
        <w:rPr>
          <w:color w:val="425254"/>
          <w:lang w:val="cs-CZ"/>
        </w:rPr>
        <w:t xml:space="preserve"> prognóza</w:t>
      </w:r>
      <w:r w:rsidR="006B6036" w:rsidRPr="00AA166A">
        <w:rPr>
          <w:color w:val="425254"/>
          <w:lang w:val="cs-CZ"/>
        </w:rPr>
        <w:t xml:space="preserve"> CBRE</w:t>
      </w:r>
      <w:r w:rsidRPr="00AA166A">
        <w:rPr>
          <w:color w:val="425254"/>
          <w:lang w:val="cs-CZ"/>
        </w:rPr>
        <w:t xml:space="preserve"> </w:t>
      </w:r>
      <w:r w:rsidR="00B53C72" w:rsidRPr="00AA166A">
        <w:rPr>
          <w:color w:val="425254"/>
          <w:lang w:val="cs-CZ"/>
        </w:rPr>
        <w:t xml:space="preserve">pro příští rok </w:t>
      </w:r>
      <w:r w:rsidR="002F4155" w:rsidRPr="00AA166A">
        <w:rPr>
          <w:color w:val="425254"/>
          <w:lang w:val="cs-CZ"/>
        </w:rPr>
        <w:t>předpokládá</w:t>
      </w:r>
      <w:r w:rsidR="006B6036" w:rsidRPr="00AA166A">
        <w:rPr>
          <w:color w:val="425254"/>
          <w:lang w:val="cs-CZ"/>
        </w:rPr>
        <w:t xml:space="preserve"> jejich </w:t>
      </w:r>
      <w:r w:rsidRPr="00AA166A">
        <w:rPr>
          <w:color w:val="425254"/>
          <w:lang w:val="cs-CZ"/>
        </w:rPr>
        <w:t>mírný růs</w:t>
      </w:r>
      <w:r w:rsidR="006B6036" w:rsidRPr="00AA166A">
        <w:rPr>
          <w:color w:val="425254"/>
          <w:lang w:val="cs-CZ"/>
        </w:rPr>
        <w:t>t.</w:t>
      </w:r>
    </w:p>
    <w:p w14:paraId="26A2BA21" w14:textId="77777777" w:rsidR="005317C5" w:rsidRPr="00AA166A" w:rsidRDefault="005317C5" w:rsidP="005317C5">
      <w:pPr>
        <w:rPr>
          <w:color w:val="425254"/>
          <w:lang w:val="en-GB"/>
        </w:rPr>
      </w:pPr>
    </w:p>
    <w:p w14:paraId="3726C6F6" w14:textId="25DEAD51" w:rsidR="00973F68" w:rsidRDefault="002B1101" w:rsidP="005317C5">
      <w:pPr>
        <w:rPr>
          <w:i/>
          <w:iCs/>
          <w:color w:val="425254"/>
          <w:lang w:val="cs-CZ"/>
        </w:rPr>
      </w:pPr>
      <w:r w:rsidRPr="00AA166A">
        <w:rPr>
          <w:b/>
          <w:bCs/>
          <w:color w:val="425254"/>
          <w:lang w:val="cs-CZ"/>
        </w:rPr>
        <w:t xml:space="preserve">Jan Janáček, </w:t>
      </w:r>
      <w:r w:rsidR="004162C0" w:rsidRPr="00AA166A">
        <w:rPr>
          <w:b/>
          <w:bCs/>
          <w:color w:val="425254"/>
          <w:lang w:val="cs-CZ"/>
        </w:rPr>
        <w:t>vedoucí retail sektoru a týmu maloobchodních pronájmů v CBRE</w:t>
      </w:r>
      <w:r w:rsidR="004162C0" w:rsidRPr="00AA166A">
        <w:rPr>
          <w:color w:val="425254"/>
          <w:lang w:val="cs-CZ"/>
        </w:rPr>
        <w:t>, uzavír</w:t>
      </w:r>
      <w:r w:rsidRPr="00AA166A">
        <w:rPr>
          <w:color w:val="425254"/>
          <w:lang w:val="cs-CZ"/>
        </w:rPr>
        <w:t>á:</w:t>
      </w:r>
      <w:r w:rsidR="004162C0" w:rsidRPr="00AA166A">
        <w:rPr>
          <w:color w:val="425254"/>
          <w:lang w:val="cs-CZ"/>
        </w:rPr>
        <w:t xml:space="preserve"> </w:t>
      </w:r>
      <w:r w:rsidR="004162C0" w:rsidRPr="00AA166A">
        <w:rPr>
          <w:i/>
          <w:iCs/>
          <w:color w:val="425254"/>
          <w:lang w:val="cs-CZ"/>
        </w:rPr>
        <w:t xml:space="preserve">„Rok 2023 opět potvrdil silnou pozici českého maloobchodního trhu, který </w:t>
      </w:r>
      <w:r w:rsidR="00856A53" w:rsidRPr="00AA166A">
        <w:rPr>
          <w:i/>
          <w:iCs/>
          <w:color w:val="425254"/>
          <w:lang w:val="cs-CZ"/>
        </w:rPr>
        <w:t xml:space="preserve">velmi </w:t>
      </w:r>
      <w:r w:rsidR="004162C0" w:rsidRPr="00AA166A">
        <w:rPr>
          <w:i/>
          <w:iCs/>
          <w:color w:val="425254"/>
          <w:lang w:val="cs-CZ"/>
        </w:rPr>
        <w:t>často figuruje jako vstupní brána pro expanzi mezinárodních značek do středoevropského prostoru. Letos to byly další desítky nových značek.</w:t>
      </w:r>
      <w:r w:rsidR="004162C0" w:rsidRPr="00AA166A">
        <w:rPr>
          <w:color w:val="425254"/>
          <w:lang w:val="cs-CZ"/>
        </w:rPr>
        <w:t xml:space="preserve"> </w:t>
      </w:r>
      <w:r w:rsidRPr="00AA166A">
        <w:rPr>
          <w:i/>
          <w:iCs/>
          <w:color w:val="425254"/>
          <w:lang w:val="cs-CZ"/>
        </w:rPr>
        <w:t>N</w:t>
      </w:r>
      <w:r w:rsidR="002F4155" w:rsidRPr="00AA166A">
        <w:rPr>
          <w:i/>
          <w:iCs/>
          <w:color w:val="425254"/>
          <w:lang w:val="cs-CZ"/>
        </w:rPr>
        <w:t>a druhé straně</w:t>
      </w:r>
      <w:r w:rsidRPr="00AA166A">
        <w:rPr>
          <w:i/>
          <w:iCs/>
          <w:color w:val="425254"/>
          <w:lang w:val="cs-CZ"/>
        </w:rPr>
        <w:t xml:space="preserve"> přetrvávající rizika spojená s vysokými </w:t>
      </w:r>
      <w:r w:rsidR="004162C0" w:rsidRPr="00AA166A">
        <w:rPr>
          <w:i/>
          <w:iCs/>
          <w:color w:val="425254"/>
          <w:lang w:val="cs-CZ"/>
        </w:rPr>
        <w:t xml:space="preserve">provozními </w:t>
      </w:r>
      <w:r w:rsidRPr="00AA166A">
        <w:rPr>
          <w:i/>
          <w:iCs/>
          <w:color w:val="425254"/>
          <w:lang w:val="cs-CZ"/>
        </w:rPr>
        <w:t xml:space="preserve">náklady, </w:t>
      </w:r>
      <w:r w:rsidR="004162C0" w:rsidRPr="00AA166A">
        <w:rPr>
          <w:i/>
          <w:iCs/>
          <w:color w:val="425254"/>
          <w:lang w:val="cs-CZ"/>
        </w:rPr>
        <w:t>inflací i</w:t>
      </w:r>
      <w:r w:rsidR="00B53C72">
        <w:rPr>
          <w:i/>
          <w:iCs/>
          <w:color w:val="425254"/>
          <w:lang w:val="cs-CZ"/>
        </w:rPr>
        <w:t> </w:t>
      </w:r>
      <w:r w:rsidRPr="00AA166A">
        <w:rPr>
          <w:i/>
          <w:iCs/>
          <w:color w:val="425254"/>
          <w:lang w:val="cs-CZ"/>
        </w:rPr>
        <w:t xml:space="preserve">příjmovou nerovností </w:t>
      </w:r>
      <w:r w:rsidR="004162C0" w:rsidRPr="00AA166A">
        <w:rPr>
          <w:i/>
          <w:iCs/>
          <w:color w:val="425254"/>
          <w:lang w:val="cs-CZ"/>
        </w:rPr>
        <w:t xml:space="preserve">na straně zákazníků, </w:t>
      </w:r>
      <w:r w:rsidRPr="00AA166A">
        <w:rPr>
          <w:i/>
          <w:iCs/>
          <w:color w:val="425254"/>
          <w:lang w:val="cs-CZ"/>
        </w:rPr>
        <w:t>vyvolávají na trhu opatrnost</w:t>
      </w:r>
      <w:r w:rsidR="004162C0" w:rsidRPr="00AA166A">
        <w:rPr>
          <w:i/>
          <w:iCs/>
          <w:color w:val="425254"/>
          <w:lang w:val="cs-CZ"/>
        </w:rPr>
        <w:t>. Vzhledem k tomu, že</w:t>
      </w:r>
      <w:r w:rsidR="00B53C72">
        <w:rPr>
          <w:i/>
          <w:iCs/>
          <w:color w:val="425254"/>
          <w:lang w:val="cs-CZ"/>
        </w:rPr>
        <w:t> </w:t>
      </w:r>
      <w:r w:rsidR="004162C0" w:rsidRPr="00AA166A">
        <w:rPr>
          <w:i/>
          <w:iCs/>
          <w:color w:val="425254"/>
          <w:lang w:val="cs-CZ"/>
        </w:rPr>
        <w:t>se</w:t>
      </w:r>
      <w:r w:rsidR="00B53C72">
        <w:rPr>
          <w:i/>
          <w:iCs/>
          <w:color w:val="425254"/>
          <w:lang w:val="cs-CZ"/>
        </w:rPr>
        <w:t> </w:t>
      </w:r>
      <w:r w:rsidR="004162C0" w:rsidRPr="00AA166A">
        <w:rPr>
          <w:i/>
          <w:iCs/>
          <w:color w:val="425254"/>
          <w:lang w:val="cs-CZ"/>
        </w:rPr>
        <w:t>již</w:t>
      </w:r>
      <w:r w:rsidR="00B53C72">
        <w:rPr>
          <w:i/>
          <w:iCs/>
          <w:color w:val="425254"/>
          <w:lang w:val="cs-CZ"/>
        </w:rPr>
        <w:t> </w:t>
      </w:r>
      <w:r w:rsidR="004162C0" w:rsidRPr="00AA166A">
        <w:rPr>
          <w:i/>
          <w:iCs/>
          <w:color w:val="425254"/>
          <w:lang w:val="cs-CZ"/>
        </w:rPr>
        <w:t>druhým rokem počítá s</w:t>
      </w:r>
      <w:r w:rsidR="00973F68" w:rsidRPr="00AA166A">
        <w:rPr>
          <w:i/>
          <w:iCs/>
          <w:color w:val="425254"/>
          <w:lang w:val="cs-CZ"/>
        </w:rPr>
        <w:t> </w:t>
      </w:r>
      <w:r w:rsidR="004162C0" w:rsidRPr="00AA166A">
        <w:rPr>
          <w:i/>
          <w:iCs/>
          <w:color w:val="425254"/>
          <w:lang w:val="cs-CZ"/>
        </w:rPr>
        <w:t>pok</w:t>
      </w:r>
      <w:r w:rsidR="00973F68" w:rsidRPr="00AA166A">
        <w:rPr>
          <w:i/>
          <w:iCs/>
          <w:color w:val="425254"/>
          <w:lang w:val="cs-CZ"/>
        </w:rPr>
        <w:t xml:space="preserve">račujícím růstem nákladů, předpokládáme, že dojde k zintenzivnění jednání mezi </w:t>
      </w:r>
      <w:r w:rsidR="002F4155" w:rsidRPr="00AA166A">
        <w:rPr>
          <w:i/>
          <w:iCs/>
          <w:color w:val="425254"/>
          <w:lang w:val="cs-CZ"/>
        </w:rPr>
        <w:t xml:space="preserve">majiteli nemovitostí a </w:t>
      </w:r>
      <w:r w:rsidR="00973F68" w:rsidRPr="00AA166A">
        <w:rPr>
          <w:i/>
          <w:iCs/>
          <w:color w:val="425254"/>
          <w:lang w:val="cs-CZ"/>
        </w:rPr>
        <w:t>nájemci</w:t>
      </w:r>
      <w:r w:rsidR="002F4155" w:rsidRPr="00AA166A">
        <w:rPr>
          <w:i/>
          <w:iCs/>
          <w:color w:val="425254"/>
          <w:lang w:val="cs-CZ"/>
        </w:rPr>
        <w:t xml:space="preserve"> ohledně výše nájmů</w:t>
      </w:r>
      <w:r w:rsidR="00973F68" w:rsidRPr="00AA166A">
        <w:rPr>
          <w:i/>
          <w:iCs/>
          <w:color w:val="425254"/>
          <w:lang w:val="cs-CZ"/>
        </w:rPr>
        <w:t xml:space="preserve">, a to zejména </w:t>
      </w:r>
      <w:r w:rsidR="002F4155" w:rsidRPr="00AA166A">
        <w:rPr>
          <w:i/>
          <w:iCs/>
          <w:color w:val="425254"/>
          <w:lang w:val="cs-CZ"/>
        </w:rPr>
        <w:t xml:space="preserve">těch </w:t>
      </w:r>
      <w:r w:rsidR="00973F68" w:rsidRPr="00AA166A">
        <w:rPr>
          <w:i/>
          <w:iCs/>
          <w:color w:val="425254"/>
          <w:lang w:val="cs-CZ"/>
        </w:rPr>
        <w:t>ze segmentů s nižší ziskovostí.“</w:t>
      </w:r>
    </w:p>
    <w:p w14:paraId="025891AD" w14:textId="77777777" w:rsidR="00973F68" w:rsidRDefault="00973F68" w:rsidP="005317C5">
      <w:pPr>
        <w:rPr>
          <w:i/>
          <w:iCs/>
          <w:color w:val="425254"/>
          <w:lang w:val="cs-CZ"/>
        </w:rPr>
      </w:pPr>
    </w:p>
    <w:p w14:paraId="0B5B47E3" w14:textId="77777777" w:rsidR="00C104A3" w:rsidRDefault="00C104A3" w:rsidP="006C6044">
      <w:pPr>
        <w:pStyle w:val="BodyCopy"/>
        <w:rPr>
          <w:lang w:val="en-GB"/>
        </w:rPr>
      </w:pPr>
    </w:p>
    <w:p w14:paraId="2A8F55D3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425254"/>
          <w:sz w:val="18"/>
          <w:szCs w:val="18"/>
        </w:rPr>
      </w:pPr>
      <w:r>
        <w:rPr>
          <w:rStyle w:val="normaltextrun"/>
          <w:color w:val="425254"/>
        </w:rPr>
        <w:t>Kontakty:</w:t>
      </w:r>
      <w:r>
        <w:rPr>
          <w:rStyle w:val="scxw186059696"/>
          <w:color w:val="425254"/>
        </w:rPr>
        <w:t> </w:t>
      </w:r>
      <w:r>
        <w:rPr>
          <w:color w:val="425254"/>
        </w:rPr>
        <w:br/>
      </w:r>
      <w:proofErr w:type="spellStart"/>
      <w:r>
        <w:rPr>
          <w:rStyle w:val="normaltextrun"/>
          <w:color w:val="425254"/>
        </w:rPr>
        <w:t>Crest</w:t>
      </w:r>
      <w:proofErr w:type="spellEnd"/>
      <w:r>
        <w:rPr>
          <w:rStyle w:val="normaltextrun"/>
          <w:color w:val="425254"/>
        </w:rPr>
        <w:t xml:space="preserve"> Communications, a.s.</w:t>
      </w:r>
      <w:r>
        <w:rPr>
          <w:rStyle w:val="eop"/>
          <w:color w:val="425254"/>
        </w:rPr>
        <w:t> </w:t>
      </w:r>
    </w:p>
    <w:p w14:paraId="57DC55BE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</w:rPr>
        <w:t>Denisa Kolaříková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</w:rPr>
        <w:t>Kamila Čadková</w:t>
      </w:r>
      <w:r>
        <w:rPr>
          <w:rStyle w:val="eop"/>
          <w:b/>
          <w:bCs/>
          <w:color w:val="425254"/>
        </w:rPr>
        <w:t> </w:t>
      </w:r>
    </w:p>
    <w:p w14:paraId="3AD24EEA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Manager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proofErr w:type="spellStart"/>
      <w:r>
        <w:rPr>
          <w:rStyle w:val="normaltextrun"/>
          <w:color w:val="425254"/>
        </w:rPr>
        <w:t>Account</w:t>
      </w:r>
      <w:proofErr w:type="spellEnd"/>
      <w:r>
        <w:rPr>
          <w:rStyle w:val="normaltextrun"/>
          <w:color w:val="425254"/>
        </w:rPr>
        <w:t xml:space="preserve"> </w:t>
      </w:r>
      <w:proofErr w:type="spellStart"/>
      <w:r>
        <w:rPr>
          <w:rStyle w:val="normaltextrun"/>
          <w:color w:val="425254"/>
        </w:rPr>
        <w:t>Director</w:t>
      </w:r>
      <w:proofErr w:type="spellEnd"/>
      <w:r>
        <w:rPr>
          <w:rStyle w:val="eop"/>
          <w:b/>
          <w:bCs/>
          <w:color w:val="425254"/>
        </w:rPr>
        <w:t> </w:t>
      </w:r>
    </w:p>
    <w:p w14:paraId="312A2846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normaltextrun"/>
          <w:color w:val="425254"/>
          <w:lang w:val="de-DE"/>
        </w:rPr>
        <w:t>T: +420 731 613 606</w:t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>T: +420 731 613 609</w:t>
      </w:r>
      <w:r>
        <w:rPr>
          <w:rStyle w:val="eop"/>
          <w:b/>
          <w:bCs/>
          <w:color w:val="425254"/>
        </w:rPr>
        <w:t> </w:t>
      </w:r>
    </w:p>
    <w:p w14:paraId="3957C0EC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proofErr w:type="spellStart"/>
      <w:r>
        <w:rPr>
          <w:rStyle w:val="normaltextrun"/>
          <w:color w:val="425254"/>
          <w:lang w:val="de-DE"/>
        </w:rPr>
        <w:t>e-mail</w:t>
      </w:r>
      <w:proofErr w:type="spellEnd"/>
      <w:r>
        <w:rPr>
          <w:rStyle w:val="normaltextrun"/>
          <w:color w:val="425254"/>
          <w:lang w:val="de-DE"/>
        </w:rPr>
        <w:t xml:space="preserve">: </w:t>
      </w:r>
      <w:r>
        <w:rPr>
          <w:rStyle w:val="normaltextrun"/>
          <w:color w:val="80BBAD"/>
          <w:u w:val="single"/>
          <w:lang w:val="de-DE"/>
        </w:rPr>
        <w:t>denisa.kolarikova@cbre.com</w:t>
      </w:r>
      <w:r>
        <w:rPr>
          <w:rStyle w:val="tabchar"/>
          <w:rFonts w:ascii="Calibri" w:hAnsi="Calibri" w:cs="Calibri"/>
          <w:color w:val="80BBAD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tabchar"/>
          <w:rFonts w:ascii="Calibri" w:hAnsi="Calibri" w:cs="Calibri"/>
          <w:color w:val="425254"/>
        </w:rPr>
        <w:tab/>
      </w:r>
      <w:r>
        <w:rPr>
          <w:rStyle w:val="normaltextrun"/>
          <w:color w:val="425254"/>
          <w:lang w:val="de-DE"/>
        </w:rPr>
        <w:t xml:space="preserve">e- mail: </w:t>
      </w:r>
      <w:hyperlink r:id="rId11" w:tgtFrame="_blank" w:history="1">
        <w:r>
          <w:rPr>
            <w:rStyle w:val="normaltextrun"/>
            <w:color w:val="80BBAD"/>
            <w:u w:val="single"/>
            <w:lang w:val="de-DE"/>
          </w:rPr>
          <w:t>kamila.cadkova@crestcom.cz</w:t>
        </w:r>
      </w:hyperlink>
      <w:r>
        <w:rPr>
          <w:rStyle w:val="normaltextrun"/>
          <w:color w:val="425254"/>
          <w:lang w:val="de-DE"/>
        </w:rPr>
        <w:t> </w:t>
      </w:r>
      <w:r>
        <w:rPr>
          <w:rStyle w:val="eop"/>
          <w:b/>
          <w:bCs/>
          <w:color w:val="425254"/>
        </w:rPr>
        <w:t> </w:t>
      </w:r>
    </w:p>
    <w:p w14:paraId="7691001D" w14:textId="77777777" w:rsidR="00AA166A" w:rsidRDefault="00000000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hyperlink r:id="rId12" w:tgtFrame="_blank" w:history="1">
        <w:r w:rsidR="00AA166A">
          <w:rPr>
            <w:rStyle w:val="normaltextrun"/>
            <w:color w:val="80BBAD"/>
            <w:u w:val="single"/>
          </w:rPr>
          <w:t>www.crestcom.cz</w:t>
        </w:r>
      </w:hyperlink>
      <w:r w:rsidR="00AA166A">
        <w:rPr>
          <w:rStyle w:val="eop"/>
          <w:b/>
          <w:bCs/>
          <w:color w:val="425254"/>
        </w:rPr>
        <w:t> </w:t>
      </w:r>
    </w:p>
    <w:p w14:paraId="33BE4555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425254"/>
          <w:sz w:val="18"/>
          <w:szCs w:val="18"/>
        </w:rPr>
      </w:pPr>
      <w:r>
        <w:rPr>
          <w:rStyle w:val="eop"/>
          <w:b/>
          <w:bCs/>
          <w:color w:val="425254"/>
        </w:rPr>
        <w:t> </w:t>
      </w:r>
    </w:p>
    <w:p w14:paraId="25769DD4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425254"/>
          <w:lang w:val="fr-FR"/>
        </w:rPr>
        <w:t>CBRE</w:t>
      </w:r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5291A096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  <w:lang w:val="fr-FR"/>
        </w:rPr>
        <w:t xml:space="preserve">Ivana Procházková, Communication Specialist, +420 771 288 023, </w:t>
      </w:r>
      <w:hyperlink r:id="rId13" w:tgtFrame="_blank" w:history="1">
        <w:r>
          <w:rPr>
            <w:rStyle w:val="normaltextrun"/>
            <w:color w:val="80BBAD"/>
            <w:u w:val="single"/>
            <w:lang w:val="fr-FR"/>
          </w:rPr>
          <w:t>ivana.prochazkova@cbre.com</w:t>
        </w:r>
      </w:hyperlink>
      <w:r>
        <w:rPr>
          <w:rStyle w:val="normaltextrun"/>
          <w:color w:val="425254"/>
          <w:lang w:val="fr-FR"/>
        </w:rPr>
        <w:t>  </w:t>
      </w:r>
      <w:r>
        <w:rPr>
          <w:rStyle w:val="eop"/>
          <w:color w:val="425254"/>
        </w:rPr>
        <w:t> </w:t>
      </w:r>
    </w:p>
    <w:p w14:paraId="37CA7AC7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color w:val="425254"/>
        </w:rPr>
        <w:t>CBRE Česká republika</w:t>
      </w:r>
      <w:r>
        <w:rPr>
          <w:rStyle w:val="normaltextrun"/>
          <w:color w:val="1F497D"/>
        </w:rPr>
        <w:t> </w:t>
      </w:r>
      <w:hyperlink r:id="rId14" w:tgtFrame="_blank" w:history="1">
        <w:r>
          <w:rPr>
            <w:rStyle w:val="normaltextrun"/>
            <w:color w:val="7FBBAD"/>
          </w:rPr>
          <w:t>Facebook</w:t>
        </w:r>
      </w:hyperlink>
      <w:r>
        <w:rPr>
          <w:rStyle w:val="normaltextrun"/>
          <w:color w:val="7FBBAD"/>
        </w:rPr>
        <w:t xml:space="preserve">, </w:t>
      </w:r>
      <w:hyperlink r:id="rId15" w:tgtFrame="_blank" w:history="1">
        <w:r>
          <w:rPr>
            <w:rStyle w:val="normaltextrun"/>
            <w:color w:val="80BBAD"/>
            <w:u w:val="single"/>
          </w:rPr>
          <w:t>LinkedIn</w:t>
        </w:r>
      </w:hyperlink>
      <w:r>
        <w:rPr>
          <w:rStyle w:val="normaltextrun"/>
          <w:color w:val="7FBBAD"/>
          <w:u w:val="single"/>
        </w:rPr>
        <w:t>,</w:t>
      </w:r>
      <w:r>
        <w:rPr>
          <w:rStyle w:val="normaltextrun"/>
          <w:color w:val="7FBBAD"/>
        </w:rPr>
        <w:t xml:space="preserve"> </w:t>
      </w:r>
      <w:hyperlink r:id="rId16" w:tgtFrame="_blank" w:history="1">
        <w:r>
          <w:rPr>
            <w:rStyle w:val="normaltextrun"/>
            <w:color w:val="7FBBAD"/>
          </w:rPr>
          <w:t>Instagram</w:t>
        </w:r>
      </w:hyperlink>
      <w:r>
        <w:rPr>
          <w:rStyle w:val="normaltextrun"/>
          <w:b/>
          <w:bCs/>
          <w:color w:val="425254"/>
        </w:rPr>
        <w:t> </w:t>
      </w:r>
      <w:r>
        <w:rPr>
          <w:rStyle w:val="eop"/>
          <w:color w:val="425254"/>
        </w:rPr>
        <w:t> </w:t>
      </w:r>
    </w:p>
    <w:p w14:paraId="6DD4E76D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Segoe UI" w:hAnsi="Segoe UI" w:cs="Segoe UI"/>
          <w:color w:val="425254"/>
          <w:sz w:val="18"/>
          <w:szCs w:val="18"/>
        </w:rPr>
        <w:t> </w:t>
      </w:r>
    </w:p>
    <w:p w14:paraId="1BBF3736" w14:textId="77777777" w:rsidR="00AA166A" w:rsidRDefault="00AA166A" w:rsidP="00AA166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  <w:u w:val="single"/>
        </w:rPr>
        <w:lastRenderedPageBreak/>
        <w:t>O CBRE: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> 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p w14:paraId="11B5DAC7" w14:textId="77777777" w:rsidR="00AA166A" w:rsidRDefault="00AA166A" w:rsidP="00AA166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e" w:hAnsi="Calibre" w:cs="Segoe UI"/>
          <w:color w:val="7F8481"/>
          <w:sz w:val="21"/>
          <w:szCs w:val="21"/>
        </w:rPr>
        <w:t>CBRE Group, Inc. (</w:t>
      </w:r>
      <w:proofErr w:type="gram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NYSE:CBRE</w:t>
      </w:r>
      <w:proofErr w:type="gram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), společnost figurující na žebříčku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Fortune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 500 a indexu S&amp;P 500 se sídlem v Dallasu, je světovým lídrem v oblasti komerčních realitních služeb a investic (z hlediska výnosů za rok 2022). S přibližně 115 000 zaměstnanci (vyjma zaměstnanců společnosti Turner &amp; </w:t>
      </w:r>
      <w:proofErr w:type="spellStart"/>
      <w:r>
        <w:rPr>
          <w:rStyle w:val="normaltextrun"/>
          <w:rFonts w:ascii="Calibre" w:hAnsi="Calibre" w:cs="Segoe UI"/>
          <w:color w:val="7F8481"/>
          <w:sz w:val="21"/>
          <w:szCs w:val="21"/>
        </w:rPr>
        <w:t>Townsend</w:t>
      </w:r>
      <w:proofErr w:type="spellEnd"/>
      <w:r>
        <w:rPr>
          <w:rStyle w:val="normaltextrun"/>
          <w:rFonts w:ascii="Calibre" w:hAnsi="Calibre" w:cs="Segoe UI"/>
          <w:color w:val="7F8481"/>
          <w:sz w:val="21"/>
          <w:szCs w:val="21"/>
        </w:rPr>
        <w:t>) je k dispozici klientům ve více než 100 zemích světa. Společnost CBRE poskytuje širokou škálu integrovaných služeb od správy a údržby nemovitostí, obchodních transakcí, projektového managementu, investičního poradenství přes oceňování nemovitostí, pronájem a prodej nemovitostí, strategické poradenství až po hypoteční a developerské služby. S téměř 300 zaměstnanci CBRE v České republice spravuje kolem 75 objektů komerčních budov o celkové rozloze cca 1,2 mil. m</w:t>
      </w:r>
      <w:r w:rsidRPr="00B53C72">
        <w:rPr>
          <w:rStyle w:val="normaltextrun"/>
          <w:rFonts w:ascii="Calibre" w:hAnsi="Calibre" w:cs="Segoe UI"/>
          <w:color w:val="7F8481"/>
          <w:sz w:val="16"/>
          <w:szCs w:val="16"/>
          <w:vertAlign w:val="superscript"/>
        </w:rPr>
        <w:t>2</w:t>
      </w:r>
      <w:r>
        <w:rPr>
          <w:rStyle w:val="normaltextrun"/>
          <w:rFonts w:ascii="Calibre" w:hAnsi="Calibre" w:cs="Segoe UI"/>
          <w:color w:val="7F8481"/>
          <w:sz w:val="21"/>
          <w:szCs w:val="21"/>
        </w:rPr>
        <w:t xml:space="preserve">. Pro více informací navštivte internetové stránky společnosti na </w:t>
      </w:r>
      <w:hyperlink r:id="rId17" w:tgtFrame="_blank" w:history="1">
        <w:r>
          <w:rPr>
            <w:rStyle w:val="normaltextrun"/>
            <w:rFonts w:ascii="Calibre" w:hAnsi="Calibre" w:cs="Segoe UI"/>
            <w:color w:val="80BBAD"/>
            <w:sz w:val="21"/>
            <w:szCs w:val="21"/>
            <w:u w:val="single"/>
          </w:rPr>
          <w:t>www.cbre.cz</w:t>
        </w:r>
      </w:hyperlink>
      <w:r>
        <w:rPr>
          <w:rStyle w:val="normaltextrun"/>
          <w:rFonts w:ascii="Calibre" w:hAnsi="Calibre" w:cs="Segoe UI"/>
          <w:color w:val="7F8481"/>
          <w:sz w:val="21"/>
          <w:szCs w:val="21"/>
        </w:rPr>
        <w:t>.</w:t>
      </w:r>
      <w:r>
        <w:rPr>
          <w:rStyle w:val="eop"/>
          <w:rFonts w:ascii="Calibre" w:hAnsi="Calibre" w:cs="Segoe UI"/>
          <w:color w:val="7F8481"/>
          <w:sz w:val="21"/>
          <w:szCs w:val="21"/>
        </w:rPr>
        <w:t> </w:t>
      </w:r>
    </w:p>
    <w:sectPr w:rsidR="00AA166A" w:rsidSect="00E01C37">
      <w:headerReference w:type="default" r:id="rId18"/>
      <w:headerReference w:type="first" r:id="rId19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DBFB8" w14:textId="77777777" w:rsidR="005A3ECB" w:rsidRDefault="005A3ECB">
      <w:r>
        <w:separator/>
      </w:r>
    </w:p>
  </w:endnote>
  <w:endnote w:type="continuationSeparator" w:id="0">
    <w:p w14:paraId="4A47E316" w14:textId="77777777" w:rsidR="005A3ECB" w:rsidRDefault="005A3E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e-Regular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12B2C" w14:textId="77777777" w:rsidR="005A3ECB" w:rsidRDefault="005A3ECB">
      <w:r>
        <w:separator/>
      </w:r>
    </w:p>
  </w:footnote>
  <w:footnote w:type="continuationSeparator" w:id="0">
    <w:p w14:paraId="6108D9AC" w14:textId="77777777" w:rsidR="005A3ECB" w:rsidRDefault="005A3ECB">
      <w:r>
        <w:continuationSeparator/>
      </w:r>
    </w:p>
  </w:footnote>
  <w:footnote w:id="1">
    <w:p w14:paraId="478C0F38" w14:textId="3C743183" w:rsidR="00301975" w:rsidRPr="00E2514D" w:rsidRDefault="00301975">
      <w:pPr>
        <w:pStyle w:val="Textpoznpodarou"/>
        <w:rPr>
          <w:lang w:val="cs-CZ"/>
        </w:rPr>
      </w:pPr>
      <w:r w:rsidRPr="00E2514D">
        <w:rPr>
          <w:rStyle w:val="Znakapoznpodarou"/>
          <w:lang w:val="cs-CZ"/>
        </w:rPr>
        <w:footnoteRef/>
      </w:r>
      <w:r w:rsidRPr="00E2514D">
        <w:rPr>
          <w:lang w:val="cs-CZ"/>
        </w:rPr>
        <w:t xml:space="preserve"> </w:t>
      </w:r>
      <w:r w:rsidR="00E2514D">
        <w:rPr>
          <w:lang w:val="cs-CZ"/>
        </w:rPr>
        <w:t>S</w:t>
      </w:r>
      <w:r w:rsidRPr="00E2514D">
        <w:rPr>
          <w:lang w:val="cs-CZ"/>
        </w:rPr>
        <w:t xml:space="preserve">měrnice </w:t>
      </w:r>
      <w:r w:rsidR="00E2514D">
        <w:rPr>
          <w:lang w:val="cs-CZ"/>
        </w:rPr>
        <w:t>EU</w:t>
      </w:r>
      <w:r w:rsidR="00E2514D" w:rsidRPr="00E2514D">
        <w:rPr>
          <w:lang w:val="cs-CZ"/>
        </w:rPr>
        <w:t xml:space="preserve"> </w:t>
      </w:r>
      <w:r w:rsidR="00E2514D">
        <w:rPr>
          <w:lang w:val="cs-CZ"/>
        </w:rPr>
        <w:t xml:space="preserve">určující firmám </w:t>
      </w:r>
      <w:r w:rsidRPr="00E2514D">
        <w:rPr>
          <w:lang w:val="cs-CZ"/>
        </w:rPr>
        <w:t>nová pravidla pro zveřejňování informací o jejich udržitelnosti. Mimo jiné jde o údaje o</w:t>
      </w:r>
      <w:r w:rsidR="00B53C72">
        <w:rPr>
          <w:lang w:val="cs-CZ"/>
        </w:rPr>
        <w:t> </w:t>
      </w:r>
      <w:r w:rsidRPr="00E2514D">
        <w:rPr>
          <w:lang w:val="cs-CZ"/>
        </w:rPr>
        <w:t xml:space="preserve">množství emisí skleníkových plynů, závislosti na fosilních palivech anebo využívání obnovitelných zdrojů. Zásadní novinkou je zavedení jednotných standardů, jak data reportovat, a dále rozšíření množství firem, kterých se požadavky týkají. V současnosti data zveřejňuje kolem 50 českých podniků, převážně účastníků finančního trhu, jako jsou investiční podniky, správci investičních fondů, pojišťovny či banky. Ovšem s nástupem účinnosti nové směrnice se bude jednat až o 1 500 tuzemských a 50 tisíc evropských firem. Konkrétně všechny společnosti splňující alespoň dvě ze tří kritérií: podnik má více jak 250 zaměstnanců, obrat společnosti činí více jak 40 milionů eur ročně, případně aktiva firmy přesahují hodnotu 20 milionů eur. Povinnost bude platit i pro všechny společnosti, které jsou kótované na burze, a to i malých či středně velkých firem. Termíny účinnosti nové směrnice jsou časově odstupňované podle přesně daných kritérií, nicméně první firmy se jí začnou řídit již od roku 2024. Více informací viz </w:t>
      </w:r>
      <w:hyperlink r:id="rId1" w:history="1">
        <w:r w:rsidRPr="00E2514D">
          <w:rPr>
            <w:rStyle w:val="Hypertextovodkaz"/>
            <w:lang w:val="cs-CZ"/>
          </w:rPr>
          <w:t>https://www.crestcom.cz/cz/tiskova-zprava/?id=4251</w:t>
        </w:r>
      </w:hyperlink>
      <w:r w:rsidRPr="00E2514D">
        <w:rPr>
          <w:lang w:val="cs-CZ"/>
        </w:rPr>
        <w:t>.</w:t>
      </w:r>
    </w:p>
  </w:footnote>
  <w:footnote w:id="2">
    <w:p w14:paraId="597D174B" w14:textId="082D01FB" w:rsidR="00301975" w:rsidRPr="00301975" w:rsidRDefault="00301975" w:rsidP="00301975">
      <w:pPr>
        <w:pStyle w:val="Textpoznpodarou"/>
        <w:rPr>
          <w:lang w:val="cs-CZ"/>
        </w:rPr>
      </w:pPr>
      <w:r w:rsidRPr="00301975">
        <w:rPr>
          <w:rStyle w:val="Znakapoznpodarou"/>
          <w:lang w:val="cs-CZ"/>
        </w:rPr>
        <w:footnoteRef/>
      </w:r>
      <w:r w:rsidRPr="00301975">
        <w:rPr>
          <w:lang w:val="cs-CZ"/>
        </w:rPr>
        <w:t xml:space="preserve"> </w:t>
      </w:r>
      <w:proofErr w:type="spellStart"/>
      <w:r w:rsidRPr="00301975">
        <w:rPr>
          <w:lang w:val="cs-CZ"/>
        </w:rPr>
        <w:t>Euribor</w:t>
      </w:r>
      <w:proofErr w:type="spellEnd"/>
      <w:r w:rsidRPr="00301975">
        <w:rPr>
          <w:lang w:val="cs-CZ"/>
        </w:rPr>
        <w:t xml:space="preserve"> (Euro Interbank </w:t>
      </w:r>
      <w:proofErr w:type="spellStart"/>
      <w:r w:rsidRPr="00301975">
        <w:rPr>
          <w:lang w:val="cs-CZ"/>
        </w:rPr>
        <w:t>Offered</w:t>
      </w:r>
      <w:proofErr w:type="spellEnd"/>
      <w:r w:rsidRPr="00301975">
        <w:rPr>
          <w:lang w:val="cs-CZ"/>
        </w:rPr>
        <w:t xml:space="preserve"> </w:t>
      </w:r>
      <w:proofErr w:type="spellStart"/>
      <w:r w:rsidRPr="00301975">
        <w:rPr>
          <w:lang w:val="cs-CZ"/>
        </w:rPr>
        <w:t>Rate</w:t>
      </w:r>
      <w:proofErr w:type="spellEnd"/>
      <w:r w:rsidRPr="00301975">
        <w:rPr>
          <w:lang w:val="cs-CZ"/>
        </w:rPr>
        <w:t>) je denní referenční sazba zveřejněná Evropským institutem pro peněžní trhy. Je</w:t>
      </w:r>
      <w:r w:rsidR="00B53C72">
        <w:rPr>
          <w:lang w:val="cs-CZ"/>
        </w:rPr>
        <w:t> </w:t>
      </w:r>
      <w:r w:rsidRPr="00301975">
        <w:rPr>
          <w:lang w:val="cs-CZ"/>
        </w:rPr>
        <w:t xml:space="preserve">založena na průměrných úrokových sazbách, za které banky eurozóny nabízejí půjčení nezajištěných prostředků jiným bankám na velkoobchodním peněžním trhu s eurem. Více informací viz </w:t>
      </w:r>
      <w:hyperlink r:id="rId2" w:history="1">
        <w:r w:rsidRPr="00301975">
          <w:rPr>
            <w:rStyle w:val="Hypertextovodkaz"/>
            <w:lang w:val="cs-CZ"/>
          </w:rPr>
          <w:t>https://www.euribor-rates.eu/en/</w:t>
        </w:r>
      </w:hyperlink>
      <w:r w:rsidRPr="00301975">
        <w:rPr>
          <w:lang w:val="cs-CZ"/>
        </w:rPr>
        <w:t>.</w:t>
      </w:r>
    </w:p>
    <w:p w14:paraId="62F59443" w14:textId="77777777" w:rsidR="00301975" w:rsidRPr="00301975" w:rsidRDefault="00301975" w:rsidP="00301975">
      <w:pPr>
        <w:pStyle w:val="Textpoznpodarou"/>
      </w:pPr>
    </w:p>
  </w:footnote>
  <w:footnote w:id="3">
    <w:p w14:paraId="5E0086A2" w14:textId="4075C2F3" w:rsidR="00BD2A55" w:rsidRPr="00BD2A55" w:rsidRDefault="00BD2A5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BD2A55">
        <w:rPr>
          <w:lang w:val="cs-CZ"/>
        </w:rPr>
        <w:t>Standardní nájemní smlouva většinou obsahuje tzv. inflační doložku, která každoročně upravuje výši nájemného s ohledem na aktuální vývoj inflace.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E8D1B" w14:textId="0D45F126" w:rsidR="00E30CD4" w:rsidRPr="006F397C" w:rsidRDefault="0098649E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AA166A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4A482" w14:textId="77777777" w:rsidR="00E30CD4" w:rsidRDefault="0098649E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68F316" wp14:editId="6B42587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2621EF6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1312" behindDoc="1" locked="0" layoutInCell="1" allowOverlap="1" wp14:anchorId="6B481C3A" wp14:editId="486FBF00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Obrázek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FF4C6E" wp14:editId="3A23BAE1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C515F2" w14:textId="458577A7" w:rsidR="00E30CD4" w:rsidRPr="00F413B0" w:rsidRDefault="00AA166A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zpráva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FF4C6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.75pt;margin-top:-54pt;width:349.9pt;height:4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" filled="f" stroked="f" strokeweight=".5pt">
              <v:textbox inset="0,0,0,0">
                <w:txbxContent>
                  <w:p w14:paraId="07C515F2" w14:textId="458577A7" w:rsidR="00E30CD4" w:rsidRPr="00F413B0" w:rsidRDefault="00AA166A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A2BFD"/>
    <w:multiLevelType w:val="hybridMultilevel"/>
    <w:tmpl w:val="AE6CD14E"/>
    <w:lvl w:ilvl="0" w:tplc="28525F1E">
      <w:start w:val="1"/>
      <w:numFmt w:val="decimal"/>
      <w:lvlText w:val="%1."/>
      <w:lvlJc w:val="left"/>
      <w:pPr>
        <w:ind w:left="720" w:hanging="360"/>
      </w:pPr>
    </w:lvl>
    <w:lvl w:ilvl="1" w:tplc="8CA07384">
      <w:start w:val="1"/>
      <w:numFmt w:val="lowerLetter"/>
      <w:lvlText w:val="%2."/>
      <w:lvlJc w:val="left"/>
      <w:pPr>
        <w:ind w:left="1440" w:hanging="360"/>
      </w:pPr>
    </w:lvl>
    <w:lvl w:ilvl="2" w:tplc="030A1656">
      <w:start w:val="1"/>
      <w:numFmt w:val="lowerRoman"/>
      <w:lvlText w:val="%3."/>
      <w:lvlJc w:val="right"/>
      <w:pPr>
        <w:ind w:left="2160" w:hanging="180"/>
      </w:pPr>
    </w:lvl>
    <w:lvl w:ilvl="3" w:tplc="23A4AF6C">
      <w:start w:val="1"/>
      <w:numFmt w:val="decimal"/>
      <w:lvlText w:val="%4."/>
      <w:lvlJc w:val="left"/>
      <w:pPr>
        <w:ind w:left="2880" w:hanging="360"/>
      </w:pPr>
    </w:lvl>
    <w:lvl w:ilvl="4" w:tplc="3C969A20">
      <w:start w:val="1"/>
      <w:numFmt w:val="lowerLetter"/>
      <w:lvlText w:val="%5."/>
      <w:lvlJc w:val="left"/>
      <w:pPr>
        <w:ind w:left="3600" w:hanging="360"/>
      </w:pPr>
    </w:lvl>
    <w:lvl w:ilvl="5" w:tplc="64322A70">
      <w:start w:val="1"/>
      <w:numFmt w:val="lowerRoman"/>
      <w:lvlText w:val="%6."/>
      <w:lvlJc w:val="right"/>
      <w:pPr>
        <w:ind w:left="4320" w:hanging="180"/>
      </w:pPr>
    </w:lvl>
    <w:lvl w:ilvl="6" w:tplc="9A321746">
      <w:start w:val="1"/>
      <w:numFmt w:val="decimal"/>
      <w:lvlText w:val="%7."/>
      <w:lvlJc w:val="left"/>
      <w:pPr>
        <w:ind w:left="5040" w:hanging="360"/>
      </w:pPr>
    </w:lvl>
    <w:lvl w:ilvl="7" w:tplc="2408B526">
      <w:start w:val="1"/>
      <w:numFmt w:val="lowerLetter"/>
      <w:lvlText w:val="%8."/>
      <w:lvlJc w:val="left"/>
      <w:pPr>
        <w:ind w:left="5760" w:hanging="360"/>
      </w:pPr>
    </w:lvl>
    <w:lvl w:ilvl="8" w:tplc="2850EAAE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31D54"/>
    <w:multiLevelType w:val="hybridMultilevel"/>
    <w:tmpl w:val="959284C2"/>
    <w:lvl w:ilvl="0" w:tplc="DD7688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B26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9C84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DCF0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E48A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5023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6E03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A280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E4EB3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04D1E"/>
    <w:multiLevelType w:val="hybridMultilevel"/>
    <w:tmpl w:val="114AA97C"/>
    <w:lvl w:ilvl="0" w:tplc="67A0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8CCB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EFC24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BC4C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2A7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801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261C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E209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7077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F7EE0"/>
    <w:multiLevelType w:val="hybridMultilevel"/>
    <w:tmpl w:val="64EAEFEA"/>
    <w:lvl w:ilvl="0" w:tplc="5F2CB4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FC19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C9E47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404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DAFA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94CF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CFE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749C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A4C2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BC25BE"/>
    <w:multiLevelType w:val="hybridMultilevel"/>
    <w:tmpl w:val="52FC0CAA"/>
    <w:lvl w:ilvl="0" w:tplc="81AC1F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2063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AC0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9A44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EB2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3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C25E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40AE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7FC31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B261AB"/>
    <w:multiLevelType w:val="hybridMultilevel"/>
    <w:tmpl w:val="719274CE"/>
    <w:lvl w:ilvl="0" w:tplc="5B928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7A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12C91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18A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B3433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BEC1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DC2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E648C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B85C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31014"/>
    <w:multiLevelType w:val="hybridMultilevel"/>
    <w:tmpl w:val="FE7CA86E"/>
    <w:lvl w:ilvl="0" w:tplc="BFD8379C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C11E2D3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BEEEB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74D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9457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D44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4E6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D888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B92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B4457A"/>
    <w:multiLevelType w:val="hybridMultilevel"/>
    <w:tmpl w:val="38D26168"/>
    <w:lvl w:ilvl="0" w:tplc="F6385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7ADF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D3C48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DC45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F0CE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FADB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1E46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7856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CF8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8E0623"/>
    <w:multiLevelType w:val="hybridMultilevel"/>
    <w:tmpl w:val="2E46B2A0"/>
    <w:lvl w:ilvl="0" w:tplc="49BC29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E8D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4CFD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FCA7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9A18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AE69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FA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2ADE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12B7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F82369"/>
    <w:multiLevelType w:val="hybridMultilevel"/>
    <w:tmpl w:val="F6BAC43E"/>
    <w:lvl w:ilvl="0" w:tplc="780E353A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AB42D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FA6D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22A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1C134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601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43C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C6A46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AA8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5367B2"/>
    <w:multiLevelType w:val="hybridMultilevel"/>
    <w:tmpl w:val="AE6CD14E"/>
    <w:lvl w:ilvl="0" w:tplc="4ADE74B8">
      <w:start w:val="1"/>
      <w:numFmt w:val="decimal"/>
      <w:lvlText w:val="%1."/>
      <w:lvlJc w:val="left"/>
      <w:pPr>
        <w:ind w:left="720" w:hanging="360"/>
      </w:pPr>
    </w:lvl>
    <w:lvl w:ilvl="1" w:tplc="307C7D7E">
      <w:start w:val="1"/>
      <w:numFmt w:val="lowerLetter"/>
      <w:lvlText w:val="%2."/>
      <w:lvlJc w:val="left"/>
      <w:pPr>
        <w:ind w:left="1440" w:hanging="360"/>
      </w:pPr>
    </w:lvl>
    <w:lvl w:ilvl="2" w:tplc="D864134A">
      <w:start w:val="1"/>
      <w:numFmt w:val="lowerRoman"/>
      <w:lvlText w:val="%3."/>
      <w:lvlJc w:val="right"/>
      <w:pPr>
        <w:ind w:left="2160" w:hanging="180"/>
      </w:pPr>
    </w:lvl>
    <w:lvl w:ilvl="3" w:tplc="6630B2E6">
      <w:start w:val="1"/>
      <w:numFmt w:val="decimal"/>
      <w:lvlText w:val="%4."/>
      <w:lvlJc w:val="left"/>
      <w:pPr>
        <w:ind w:left="2880" w:hanging="360"/>
      </w:pPr>
    </w:lvl>
    <w:lvl w:ilvl="4" w:tplc="C9B2443A">
      <w:start w:val="1"/>
      <w:numFmt w:val="lowerLetter"/>
      <w:lvlText w:val="%5."/>
      <w:lvlJc w:val="left"/>
      <w:pPr>
        <w:ind w:left="3600" w:hanging="360"/>
      </w:pPr>
    </w:lvl>
    <w:lvl w:ilvl="5" w:tplc="BC1894FE">
      <w:start w:val="1"/>
      <w:numFmt w:val="lowerRoman"/>
      <w:lvlText w:val="%6."/>
      <w:lvlJc w:val="right"/>
      <w:pPr>
        <w:ind w:left="4320" w:hanging="180"/>
      </w:pPr>
    </w:lvl>
    <w:lvl w:ilvl="6" w:tplc="7F007F6C">
      <w:start w:val="1"/>
      <w:numFmt w:val="decimal"/>
      <w:lvlText w:val="%7."/>
      <w:lvlJc w:val="left"/>
      <w:pPr>
        <w:ind w:left="5040" w:hanging="360"/>
      </w:pPr>
    </w:lvl>
    <w:lvl w:ilvl="7" w:tplc="C8FACA08">
      <w:start w:val="1"/>
      <w:numFmt w:val="lowerLetter"/>
      <w:lvlText w:val="%8."/>
      <w:lvlJc w:val="left"/>
      <w:pPr>
        <w:ind w:left="5760" w:hanging="360"/>
      </w:pPr>
    </w:lvl>
    <w:lvl w:ilvl="8" w:tplc="453A109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821BF"/>
    <w:multiLevelType w:val="hybridMultilevel"/>
    <w:tmpl w:val="AE6CD14E"/>
    <w:lvl w:ilvl="0" w:tplc="F2428F16">
      <w:start w:val="1"/>
      <w:numFmt w:val="decimal"/>
      <w:lvlText w:val="%1."/>
      <w:lvlJc w:val="left"/>
      <w:pPr>
        <w:ind w:left="720" w:hanging="360"/>
      </w:pPr>
    </w:lvl>
    <w:lvl w:ilvl="1" w:tplc="D7487CA8">
      <w:start w:val="1"/>
      <w:numFmt w:val="lowerLetter"/>
      <w:lvlText w:val="%2."/>
      <w:lvlJc w:val="left"/>
      <w:pPr>
        <w:ind w:left="1440" w:hanging="360"/>
      </w:pPr>
    </w:lvl>
    <w:lvl w:ilvl="2" w:tplc="C47C658A">
      <w:start w:val="1"/>
      <w:numFmt w:val="lowerRoman"/>
      <w:lvlText w:val="%3."/>
      <w:lvlJc w:val="right"/>
      <w:pPr>
        <w:ind w:left="2160" w:hanging="180"/>
      </w:pPr>
    </w:lvl>
    <w:lvl w:ilvl="3" w:tplc="F9C6D05A">
      <w:start w:val="1"/>
      <w:numFmt w:val="decimal"/>
      <w:lvlText w:val="%4."/>
      <w:lvlJc w:val="left"/>
      <w:pPr>
        <w:ind w:left="2880" w:hanging="360"/>
      </w:pPr>
    </w:lvl>
    <w:lvl w:ilvl="4" w:tplc="A684ACF8">
      <w:start w:val="1"/>
      <w:numFmt w:val="lowerLetter"/>
      <w:lvlText w:val="%5."/>
      <w:lvlJc w:val="left"/>
      <w:pPr>
        <w:ind w:left="3600" w:hanging="360"/>
      </w:pPr>
    </w:lvl>
    <w:lvl w:ilvl="5" w:tplc="1BC00B00">
      <w:start w:val="1"/>
      <w:numFmt w:val="lowerRoman"/>
      <w:lvlText w:val="%6."/>
      <w:lvlJc w:val="right"/>
      <w:pPr>
        <w:ind w:left="4320" w:hanging="180"/>
      </w:pPr>
    </w:lvl>
    <w:lvl w:ilvl="6" w:tplc="7DD02714">
      <w:start w:val="1"/>
      <w:numFmt w:val="decimal"/>
      <w:lvlText w:val="%7."/>
      <w:lvlJc w:val="left"/>
      <w:pPr>
        <w:ind w:left="5040" w:hanging="360"/>
      </w:pPr>
    </w:lvl>
    <w:lvl w:ilvl="7" w:tplc="6F5ECD6A">
      <w:start w:val="1"/>
      <w:numFmt w:val="lowerLetter"/>
      <w:lvlText w:val="%8."/>
      <w:lvlJc w:val="left"/>
      <w:pPr>
        <w:ind w:left="5760" w:hanging="360"/>
      </w:pPr>
    </w:lvl>
    <w:lvl w:ilvl="8" w:tplc="D7AC64B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55383"/>
    <w:multiLevelType w:val="hybridMultilevel"/>
    <w:tmpl w:val="AE6CD14E"/>
    <w:lvl w:ilvl="0" w:tplc="E07812BE">
      <w:start w:val="1"/>
      <w:numFmt w:val="decimal"/>
      <w:lvlText w:val="%1."/>
      <w:lvlJc w:val="left"/>
      <w:pPr>
        <w:ind w:left="720" w:hanging="360"/>
      </w:pPr>
    </w:lvl>
    <w:lvl w:ilvl="1" w:tplc="65840EE2">
      <w:start w:val="1"/>
      <w:numFmt w:val="lowerLetter"/>
      <w:lvlText w:val="%2."/>
      <w:lvlJc w:val="left"/>
      <w:pPr>
        <w:ind w:left="1440" w:hanging="360"/>
      </w:pPr>
    </w:lvl>
    <w:lvl w:ilvl="2" w:tplc="6B8A2006">
      <w:start w:val="1"/>
      <w:numFmt w:val="lowerRoman"/>
      <w:lvlText w:val="%3."/>
      <w:lvlJc w:val="right"/>
      <w:pPr>
        <w:ind w:left="2160" w:hanging="180"/>
      </w:pPr>
    </w:lvl>
    <w:lvl w:ilvl="3" w:tplc="D180BA3E">
      <w:start w:val="1"/>
      <w:numFmt w:val="decimal"/>
      <w:lvlText w:val="%4."/>
      <w:lvlJc w:val="left"/>
      <w:pPr>
        <w:ind w:left="2880" w:hanging="360"/>
      </w:pPr>
    </w:lvl>
    <w:lvl w:ilvl="4" w:tplc="824AC01A">
      <w:start w:val="1"/>
      <w:numFmt w:val="lowerLetter"/>
      <w:lvlText w:val="%5."/>
      <w:lvlJc w:val="left"/>
      <w:pPr>
        <w:ind w:left="3600" w:hanging="360"/>
      </w:pPr>
    </w:lvl>
    <w:lvl w:ilvl="5" w:tplc="4902432E">
      <w:start w:val="1"/>
      <w:numFmt w:val="lowerRoman"/>
      <w:lvlText w:val="%6."/>
      <w:lvlJc w:val="right"/>
      <w:pPr>
        <w:ind w:left="4320" w:hanging="180"/>
      </w:pPr>
    </w:lvl>
    <w:lvl w:ilvl="6" w:tplc="B394ADC2">
      <w:start w:val="1"/>
      <w:numFmt w:val="decimal"/>
      <w:lvlText w:val="%7."/>
      <w:lvlJc w:val="left"/>
      <w:pPr>
        <w:ind w:left="5040" w:hanging="360"/>
      </w:pPr>
    </w:lvl>
    <w:lvl w:ilvl="7" w:tplc="68E22228">
      <w:start w:val="1"/>
      <w:numFmt w:val="lowerLetter"/>
      <w:lvlText w:val="%8."/>
      <w:lvlJc w:val="left"/>
      <w:pPr>
        <w:ind w:left="5760" w:hanging="360"/>
      </w:pPr>
    </w:lvl>
    <w:lvl w:ilvl="8" w:tplc="D222F13A">
      <w:start w:val="1"/>
      <w:numFmt w:val="lowerRoman"/>
      <w:lvlText w:val="%9."/>
      <w:lvlJc w:val="right"/>
      <w:pPr>
        <w:ind w:left="6480" w:hanging="180"/>
      </w:pPr>
    </w:lvl>
  </w:abstractNum>
  <w:num w:numId="1" w16cid:durableId="921597916">
    <w:abstractNumId w:val="7"/>
  </w:num>
  <w:num w:numId="2" w16cid:durableId="2057384616">
    <w:abstractNumId w:val="5"/>
  </w:num>
  <w:num w:numId="3" w16cid:durableId="558980417">
    <w:abstractNumId w:val="8"/>
  </w:num>
  <w:num w:numId="4" w16cid:durableId="909778462">
    <w:abstractNumId w:val="1"/>
  </w:num>
  <w:num w:numId="5" w16cid:durableId="455293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59172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066177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503434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77309200">
    <w:abstractNumId w:val="4"/>
  </w:num>
  <w:num w:numId="10" w16cid:durableId="1731030294">
    <w:abstractNumId w:val="0"/>
  </w:num>
  <w:num w:numId="11" w16cid:durableId="370375362">
    <w:abstractNumId w:val="3"/>
  </w:num>
  <w:num w:numId="12" w16cid:durableId="833687002">
    <w:abstractNumId w:val="2"/>
  </w:num>
  <w:num w:numId="13" w16cid:durableId="928805469">
    <w:abstractNumId w:val="9"/>
  </w:num>
  <w:num w:numId="14" w16cid:durableId="3104440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MyNTAyNDY1tDA3MzNT0lEKTi0uzszPAykwrAUANJzT3SwAAAA="/>
  </w:docVars>
  <w:rsids>
    <w:rsidRoot w:val="00A9707D"/>
    <w:rsid w:val="00007199"/>
    <w:rsid w:val="00011123"/>
    <w:rsid w:val="00016F8C"/>
    <w:rsid w:val="000229DC"/>
    <w:rsid w:val="00024932"/>
    <w:rsid w:val="00024F8C"/>
    <w:rsid w:val="00030322"/>
    <w:rsid w:val="0003361C"/>
    <w:rsid w:val="00036013"/>
    <w:rsid w:val="00037FA3"/>
    <w:rsid w:val="00045127"/>
    <w:rsid w:val="00047A30"/>
    <w:rsid w:val="00056941"/>
    <w:rsid w:val="000600EC"/>
    <w:rsid w:val="00064421"/>
    <w:rsid w:val="00064B63"/>
    <w:rsid w:val="00073176"/>
    <w:rsid w:val="00076B7D"/>
    <w:rsid w:val="00083332"/>
    <w:rsid w:val="00083A22"/>
    <w:rsid w:val="000852B4"/>
    <w:rsid w:val="00095FCF"/>
    <w:rsid w:val="000978B8"/>
    <w:rsid w:val="000A542D"/>
    <w:rsid w:val="000B13EB"/>
    <w:rsid w:val="000B28E7"/>
    <w:rsid w:val="000C0082"/>
    <w:rsid w:val="000D2F28"/>
    <w:rsid w:val="000D341A"/>
    <w:rsid w:val="000D4D66"/>
    <w:rsid w:val="000E173B"/>
    <w:rsid w:val="000E3EC9"/>
    <w:rsid w:val="000E513F"/>
    <w:rsid w:val="000E526C"/>
    <w:rsid w:val="000E52BF"/>
    <w:rsid w:val="000F0FDC"/>
    <w:rsid w:val="000F5BEE"/>
    <w:rsid w:val="001045FD"/>
    <w:rsid w:val="001078C4"/>
    <w:rsid w:val="00120DFD"/>
    <w:rsid w:val="00131CA3"/>
    <w:rsid w:val="001346FE"/>
    <w:rsid w:val="00140E0A"/>
    <w:rsid w:val="00144797"/>
    <w:rsid w:val="001519BE"/>
    <w:rsid w:val="00161E9C"/>
    <w:rsid w:val="001704A1"/>
    <w:rsid w:val="00171104"/>
    <w:rsid w:val="00177CB0"/>
    <w:rsid w:val="00192D10"/>
    <w:rsid w:val="00193D32"/>
    <w:rsid w:val="00194618"/>
    <w:rsid w:val="001A0575"/>
    <w:rsid w:val="001A511A"/>
    <w:rsid w:val="001B0002"/>
    <w:rsid w:val="001B54C7"/>
    <w:rsid w:val="001B5E4E"/>
    <w:rsid w:val="001C57CD"/>
    <w:rsid w:val="001C6185"/>
    <w:rsid w:val="001C73CF"/>
    <w:rsid w:val="001C79CC"/>
    <w:rsid w:val="001E24E3"/>
    <w:rsid w:val="001E57DD"/>
    <w:rsid w:val="001F0A13"/>
    <w:rsid w:val="001F3007"/>
    <w:rsid w:val="001F7D7A"/>
    <w:rsid w:val="00201D5E"/>
    <w:rsid w:val="00206799"/>
    <w:rsid w:val="00207821"/>
    <w:rsid w:val="002209E5"/>
    <w:rsid w:val="00226F5A"/>
    <w:rsid w:val="002422DC"/>
    <w:rsid w:val="00244C15"/>
    <w:rsid w:val="00247975"/>
    <w:rsid w:val="00252372"/>
    <w:rsid w:val="00252BB8"/>
    <w:rsid w:val="00254D6F"/>
    <w:rsid w:val="0025530B"/>
    <w:rsid w:val="00260198"/>
    <w:rsid w:val="00262BA0"/>
    <w:rsid w:val="00266A9E"/>
    <w:rsid w:val="002674DC"/>
    <w:rsid w:val="00267AD2"/>
    <w:rsid w:val="002751E0"/>
    <w:rsid w:val="00275634"/>
    <w:rsid w:val="00280847"/>
    <w:rsid w:val="00282A85"/>
    <w:rsid w:val="0028319D"/>
    <w:rsid w:val="002838D9"/>
    <w:rsid w:val="00285CF9"/>
    <w:rsid w:val="00293D28"/>
    <w:rsid w:val="00294495"/>
    <w:rsid w:val="00295655"/>
    <w:rsid w:val="002A261E"/>
    <w:rsid w:val="002B1101"/>
    <w:rsid w:val="002B4D8F"/>
    <w:rsid w:val="002C64B4"/>
    <w:rsid w:val="002C7021"/>
    <w:rsid w:val="002C7033"/>
    <w:rsid w:val="002C7BCA"/>
    <w:rsid w:val="002D0D8A"/>
    <w:rsid w:val="002E1BB9"/>
    <w:rsid w:val="002E3D27"/>
    <w:rsid w:val="002E5AF9"/>
    <w:rsid w:val="002ED616"/>
    <w:rsid w:val="002F4155"/>
    <w:rsid w:val="00301975"/>
    <w:rsid w:val="00301D40"/>
    <w:rsid w:val="003033AF"/>
    <w:rsid w:val="00303571"/>
    <w:rsid w:val="0030763F"/>
    <w:rsid w:val="00311B5D"/>
    <w:rsid w:val="00313FE7"/>
    <w:rsid w:val="0031E37A"/>
    <w:rsid w:val="00324FE5"/>
    <w:rsid w:val="00330A0E"/>
    <w:rsid w:val="00334DAA"/>
    <w:rsid w:val="00336BC6"/>
    <w:rsid w:val="00340911"/>
    <w:rsid w:val="0034641C"/>
    <w:rsid w:val="003509E7"/>
    <w:rsid w:val="0035369D"/>
    <w:rsid w:val="00360ED6"/>
    <w:rsid w:val="00364ACC"/>
    <w:rsid w:val="00366367"/>
    <w:rsid w:val="003762E9"/>
    <w:rsid w:val="00382FF5"/>
    <w:rsid w:val="00383844"/>
    <w:rsid w:val="00385EC2"/>
    <w:rsid w:val="00387270"/>
    <w:rsid w:val="00395631"/>
    <w:rsid w:val="003A796B"/>
    <w:rsid w:val="003B0B9B"/>
    <w:rsid w:val="003B4492"/>
    <w:rsid w:val="003B44F1"/>
    <w:rsid w:val="003C6BB7"/>
    <w:rsid w:val="003F3C34"/>
    <w:rsid w:val="0040123C"/>
    <w:rsid w:val="004113B2"/>
    <w:rsid w:val="004120B7"/>
    <w:rsid w:val="00412E8D"/>
    <w:rsid w:val="00413AA5"/>
    <w:rsid w:val="004162C0"/>
    <w:rsid w:val="004224BA"/>
    <w:rsid w:val="00424070"/>
    <w:rsid w:val="00424CAD"/>
    <w:rsid w:val="004319B8"/>
    <w:rsid w:val="0044510D"/>
    <w:rsid w:val="00446851"/>
    <w:rsid w:val="00450610"/>
    <w:rsid w:val="00457E26"/>
    <w:rsid w:val="00462A07"/>
    <w:rsid w:val="00477259"/>
    <w:rsid w:val="00480C44"/>
    <w:rsid w:val="00481310"/>
    <w:rsid w:val="004814B1"/>
    <w:rsid w:val="004821E3"/>
    <w:rsid w:val="00485562"/>
    <w:rsid w:val="00486080"/>
    <w:rsid w:val="00490E9C"/>
    <w:rsid w:val="00491C90"/>
    <w:rsid w:val="00491E6E"/>
    <w:rsid w:val="0049291C"/>
    <w:rsid w:val="00497432"/>
    <w:rsid w:val="004A3E0F"/>
    <w:rsid w:val="004A4C0D"/>
    <w:rsid w:val="004B5606"/>
    <w:rsid w:val="004B77DE"/>
    <w:rsid w:val="004C4C0A"/>
    <w:rsid w:val="004E27E2"/>
    <w:rsid w:val="004E3B3A"/>
    <w:rsid w:val="004E4608"/>
    <w:rsid w:val="004F5891"/>
    <w:rsid w:val="0050793C"/>
    <w:rsid w:val="005127F2"/>
    <w:rsid w:val="00512BD9"/>
    <w:rsid w:val="00514AB1"/>
    <w:rsid w:val="005153BC"/>
    <w:rsid w:val="00515DD3"/>
    <w:rsid w:val="005175BE"/>
    <w:rsid w:val="005207FD"/>
    <w:rsid w:val="00521BCC"/>
    <w:rsid w:val="00521CAB"/>
    <w:rsid w:val="00522065"/>
    <w:rsid w:val="00526964"/>
    <w:rsid w:val="005317C5"/>
    <w:rsid w:val="00545FCD"/>
    <w:rsid w:val="005469B0"/>
    <w:rsid w:val="0054772F"/>
    <w:rsid w:val="00550F4B"/>
    <w:rsid w:val="00552462"/>
    <w:rsid w:val="00553A6F"/>
    <w:rsid w:val="00554FEE"/>
    <w:rsid w:val="005668D7"/>
    <w:rsid w:val="00574ED7"/>
    <w:rsid w:val="00576FD6"/>
    <w:rsid w:val="0058468A"/>
    <w:rsid w:val="00584E27"/>
    <w:rsid w:val="00590452"/>
    <w:rsid w:val="005A193C"/>
    <w:rsid w:val="005A3ECB"/>
    <w:rsid w:val="005B3B0D"/>
    <w:rsid w:val="005B4870"/>
    <w:rsid w:val="005B4B8E"/>
    <w:rsid w:val="005B5BCC"/>
    <w:rsid w:val="005C1520"/>
    <w:rsid w:val="005C1891"/>
    <w:rsid w:val="005C22BE"/>
    <w:rsid w:val="005C281D"/>
    <w:rsid w:val="005C3435"/>
    <w:rsid w:val="005C57C9"/>
    <w:rsid w:val="005D4735"/>
    <w:rsid w:val="005E4865"/>
    <w:rsid w:val="005E91C4"/>
    <w:rsid w:val="005F7F99"/>
    <w:rsid w:val="00601627"/>
    <w:rsid w:val="00601D80"/>
    <w:rsid w:val="00601D8C"/>
    <w:rsid w:val="00610107"/>
    <w:rsid w:val="00612C44"/>
    <w:rsid w:val="00614778"/>
    <w:rsid w:val="00616375"/>
    <w:rsid w:val="00630B79"/>
    <w:rsid w:val="0063267C"/>
    <w:rsid w:val="006330EB"/>
    <w:rsid w:val="00633141"/>
    <w:rsid w:val="00651745"/>
    <w:rsid w:val="00661ABD"/>
    <w:rsid w:val="0066777A"/>
    <w:rsid w:val="00670C77"/>
    <w:rsid w:val="006725EE"/>
    <w:rsid w:val="006738F2"/>
    <w:rsid w:val="006810E4"/>
    <w:rsid w:val="00681C87"/>
    <w:rsid w:val="006854ED"/>
    <w:rsid w:val="00685808"/>
    <w:rsid w:val="0068B457"/>
    <w:rsid w:val="00690849"/>
    <w:rsid w:val="00690DBA"/>
    <w:rsid w:val="00694265"/>
    <w:rsid w:val="00696D05"/>
    <w:rsid w:val="006A0984"/>
    <w:rsid w:val="006A0EEA"/>
    <w:rsid w:val="006B152B"/>
    <w:rsid w:val="006B490D"/>
    <w:rsid w:val="006B6036"/>
    <w:rsid w:val="006C1E05"/>
    <w:rsid w:val="006C2970"/>
    <w:rsid w:val="006C3991"/>
    <w:rsid w:val="006C6044"/>
    <w:rsid w:val="006D63A5"/>
    <w:rsid w:val="006F142F"/>
    <w:rsid w:val="006F1C7F"/>
    <w:rsid w:val="006F3592"/>
    <w:rsid w:val="006F397C"/>
    <w:rsid w:val="0070007F"/>
    <w:rsid w:val="007001C2"/>
    <w:rsid w:val="0070118A"/>
    <w:rsid w:val="00703436"/>
    <w:rsid w:val="00704CD1"/>
    <w:rsid w:val="00711B4B"/>
    <w:rsid w:val="00716A5B"/>
    <w:rsid w:val="00720072"/>
    <w:rsid w:val="00722C2A"/>
    <w:rsid w:val="0072349F"/>
    <w:rsid w:val="00723C6E"/>
    <w:rsid w:val="00727E87"/>
    <w:rsid w:val="007363FB"/>
    <w:rsid w:val="00736F66"/>
    <w:rsid w:val="00740BDE"/>
    <w:rsid w:val="00742D8F"/>
    <w:rsid w:val="00746CEA"/>
    <w:rsid w:val="00753C63"/>
    <w:rsid w:val="00753D60"/>
    <w:rsid w:val="0076423C"/>
    <w:rsid w:val="007678F4"/>
    <w:rsid w:val="007763E8"/>
    <w:rsid w:val="00784715"/>
    <w:rsid w:val="007871E2"/>
    <w:rsid w:val="00793423"/>
    <w:rsid w:val="00797AAD"/>
    <w:rsid w:val="007A29ED"/>
    <w:rsid w:val="007A3613"/>
    <w:rsid w:val="007A3C6C"/>
    <w:rsid w:val="007A4FA0"/>
    <w:rsid w:val="007A6937"/>
    <w:rsid w:val="007A6E57"/>
    <w:rsid w:val="007A7D89"/>
    <w:rsid w:val="007B403B"/>
    <w:rsid w:val="007C1420"/>
    <w:rsid w:val="007C1AB6"/>
    <w:rsid w:val="007C1FDD"/>
    <w:rsid w:val="007D6DE1"/>
    <w:rsid w:val="007DC201"/>
    <w:rsid w:val="007E236C"/>
    <w:rsid w:val="007E352A"/>
    <w:rsid w:val="007E3C72"/>
    <w:rsid w:val="007E75FD"/>
    <w:rsid w:val="007F0F34"/>
    <w:rsid w:val="007F3C69"/>
    <w:rsid w:val="007F4E2C"/>
    <w:rsid w:val="007F53DE"/>
    <w:rsid w:val="007F6C10"/>
    <w:rsid w:val="00804558"/>
    <w:rsid w:val="00805C6A"/>
    <w:rsid w:val="00806D91"/>
    <w:rsid w:val="008141D0"/>
    <w:rsid w:val="0081551A"/>
    <w:rsid w:val="00825E78"/>
    <w:rsid w:val="0082751C"/>
    <w:rsid w:val="00832B51"/>
    <w:rsid w:val="008354EE"/>
    <w:rsid w:val="00837C64"/>
    <w:rsid w:val="008542D3"/>
    <w:rsid w:val="00854777"/>
    <w:rsid w:val="00856A53"/>
    <w:rsid w:val="00857148"/>
    <w:rsid w:val="008621C5"/>
    <w:rsid w:val="00866C8B"/>
    <w:rsid w:val="0088099A"/>
    <w:rsid w:val="00881E8C"/>
    <w:rsid w:val="008903B4"/>
    <w:rsid w:val="00895D5A"/>
    <w:rsid w:val="0089773C"/>
    <w:rsid w:val="008A1AFE"/>
    <w:rsid w:val="008A29D4"/>
    <w:rsid w:val="008A3BA5"/>
    <w:rsid w:val="008A6EF1"/>
    <w:rsid w:val="008B3425"/>
    <w:rsid w:val="008B3E75"/>
    <w:rsid w:val="008B74A5"/>
    <w:rsid w:val="008D21E0"/>
    <w:rsid w:val="008E1106"/>
    <w:rsid w:val="008E1130"/>
    <w:rsid w:val="008E49E7"/>
    <w:rsid w:val="008F1D24"/>
    <w:rsid w:val="008F1D8F"/>
    <w:rsid w:val="008F4915"/>
    <w:rsid w:val="008F4E12"/>
    <w:rsid w:val="009017B8"/>
    <w:rsid w:val="00901939"/>
    <w:rsid w:val="00907E35"/>
    <w:rsid w:val="00920933"/>
    <w:rsid w:val="009210BF"/>
    <w:rsid w:val="00927C74"/>
    <w:rsid w:val="00930F18"/>
    <w:rsid w:val="0093155E"/>
    <w:rsid w:val="00934361"/>
    <w:rsid w:val="00934556"/>
    <w:rsid w:val="00936048"/>
    <w:rsid w:val="009373C4"/>
    <w:rsid w:val="0094537E"/>
    <w:rsid w:val="00946A57"/>
    <w:rsid w:val="0095013A"/>
    <w:rsid w:val="00953540"/>
    <w:rsid w:val="0097249B"/>
    <w:rsid w:val="0097392E"/>
    <w:rsid w:val="00973F68"/>
    <w:rsid w:val="00977C5D"/>
    <w:rsid w:val="0098206A"/>
    <w:rsid w:val="0098649E"/>
    <w:rsid w:val="00990231"/>
    <w:rsid w:val="00994CA7"/>
    <w:rsid w:val="009958A1"/>
    <w:rsid w:val="009A362D"/>
    <w:rsid w:val="009A3A68"/>
    <w:rsid w:val="009B0BD1"/>
    <w:rsid w:val="009B169F"/>
    <w:rsid w:val="009C04BB"/>
    <w:rsid w:val="009C334D"/>
    <w:rsid w:val="009C6411"/>
    <w:rsid w:val="009C6ACA"/>
    <w:rsid w:val="009C6C67"/>
    <w:rsid w:val="009D1ED5"/>
    <w:rsid w:val="009D4630"/>
    <w:rsid w:val="009D4A63"/>
    <w:rsid w:val="009D781A"/>
    <w:rsid w:val="009E1E17"/>
    <w:rsid w:val="009E244F"/>
    <w:rsid w:val="009F2423"/>
    <w:rsid w:val="009F60BA"/>
    <w:rsid w:val="00A009D6"/>
    <w:rsid w:val="00A02B6E"/>
    <w:rsid w:val="00A12B06"/>
    <w:rsid w:val="00A15C2E"/>
    <w:rsid w:val="00A26BF0"/>
    <w:rsid w:val="00A27211"/>
    <w:rsid w:val="00A30729"/>
    <w:rsid w:val="00A30799"/>
    <w:rsid w:val="00A31B6A"/>
    <w:rsid w:val="00A31DBA"/>
    <w:rsid w:val="00A328BA"/>
    <w:rsid w:val="00A37061"/>
    <w:rsid w:val="00A377C5"/>
    <w:rsid w:val="00A37D4D"/>
    <w:rsid w:val="00A44446"/>
    <w:rsid w:val="00A46DBB"/>
    <w:rsid w:val="00A4782D"/>
    <w:rsid w:val="00A50C10"/>
    <w:rsid w:val="00A5269C"/>
    <w:rsid w:val="00A52ACF"/>
    <w:rsid w:val="00A5320F"/>
    <w:rsid w:val="00A53699"/>
    <w:rsid w:val="00A54714"/>
    <w:rsid w:val="00A55E98"/>
    <w:rsid w:val="00A67E84"/>
    <w:rsid w:val="00A67F88"/>
    <w:rsid w:val="00A70237"/>
    <w:rsid w:val="00A71B8E"/>
    <w:rsid w:val="00A75315"/>
    <w:rsid w:val="00A90A3A"/>
    <w:rsid w:val="00A90CB1"/>
    <w:rsid w:val="00A9707D"/>
    <w:rsid w:val="00AA166A"/>
    <w:rsid w:val="00AA247D"/>
    <w:rsid w:val="00AA6128"/>
    <w:rsid w:val="00AB40C9"/>
    <w:rsid w:val="00AB5429"/>
    <w:rsid w:val="00AB5CFE"/>
    <w:rsid w:val="00AC3FA0"/>
    <w:rsid w:val="00AC4EAD"/>
    <w:rsid w:val="00AD6E51"/>
    <w:rsid w:val="00AE14C3"/>
    <w:rsid w:val="00AE3CDD"/>
    <w:rsid w:val="00AE4F5F"/>
    <w:rsid w:val="00AF3022"/>
    <w:rsid w:val="00AF5205"/>
    <w:rsid w:val="00AF6207"/>
    <w:rsid w:val="00B049FB"/>
    <w:rsid w:val="00B13513"/>
    <w:rsid w:val="00B20AEE"/>
    <w:rsid w:val="00B321F5"/>
    <w:rsid w:val="00B4250D"/>
    <w:rsid w:val="00B43F92"/>
    <w:rsid w:val="00B443B8"/>
    <w:rsid w:val="00B45156"/>
    <w:rsid w:val="00B45298"/>
    <w:rsid w:val="00B45A14"/>
    <w:rsid w:val="00B52410"/>
    <w:rsid w:val="00B53C72"/>
    <w:rsid w:val="00B57E06"/>
    <w:rsid w:val="00B627CE"/>
    <w:rsid w:val="00B654E0"/>
    <w:rsid w:val="00B66503"/>
    <w:rsid w:val="00B66AA4"/>
    <w:rsid w:val="00B67D4B"/>
    <w:rsid w:val="00B703FD"/>
    <w:rsid w:val="00B705C4"/>
    <w:rsid w:val="00B72576"/>
    <w:rsid w:val="00B8412A"/>
    <w:rsid w:val="00B90463"/>
    <w:rsid w:val="00B91D54"/>
    <w:rsid w:val="00BA3ACA"/>
    <w:rsid w:val="00BA496A"/>
    <w:rsid w:val="00BB0E9C"/>
    <w:rsid w:val="00BB71B3"/>
    <w:rsid w:val="00BC0006"/>
    <w:rsid w:val="00BC1ACF"/>
    <w:rsid w:val="00BC4CF9"/>
    <w:rsid w:val="00BD2A55"/>
    <w:rsid w:val="00BD3D8E"/>
    <w:rsid w:val="00BE1A09"/>
    <w:rsid w:val="00BE569E"/>
    <w:rsid w:val="00BE6292"/>
    <w:rsid w:val="00BE7B6E"/>
    <w:rsid w:val="00BF0717"/>
    <w:rsid w:val="00BF76BE"/>
    <w:rsid w:val="00C036D8"/>
    <w:rsid w:val="00C03912"/>
    <w:rsid w:val="00C07B16"/>
    <w:rsid w:val="00C104A3"/>
    <w:rsid w:val="00C15AA5"/>
    <w:rsid w:val="00C179A5"/>
    <w:rsid w:val="00C25C90"/>
    <w:rsid w:val="00C35AFB"/>
    <w:rsid w:val="00C43ACF"/>
    <w:rsid w:val="00C44A81"/>
    <w:rsid w:val="00C463A2"/>
    <w:rsid w:val="00C465B8"/>
    <w:rsid w:val="00C54F90"/>
    <w:rsid w:val="00C576F3"/>
    <w:rsid w:val="00C63036"/>
    <w:rsid w:val="00C64AEB"/>
    <w:rsid w:val="00C65B5C"/>
    <w:rsid w:val="00C729DF"/>
    <w:rsid w:val="00C77850"/>
    <w:rsid w:val="00C8048B"/>
    <w:rsid w:val="00C82832"/>
    <w:rsid w:val="00C83135"/>
    <w:rsid w:val="00C83ACF"/>
    <w:rsid w:val="00C84A05"/>
    <w:rsid w:val="00C86B4E"/>
    <w:rsid w:val="00C9225B"/>
    <w:rsid w:val="00C93E39"/>
    <w:rsid w:val="00CA0C88"/>
    <w:rsid w:val="00CA185A"/>
    <w:rsid w:val="00CA2436"/>
    <w:rsid w:val="00CB2C62"/>
    <w:rsid w:val="00CB498B"/>
    <w:rsid w:val="00CB4D20"/>
    <w:rsid w:val="00CB5B5A"/>
    <w:rsid w:val="00CB75B5"/>
    <w:rsid w:val="00CB7967"/>
    <w:rsid w:val="00CC4710"/>
    <w:rsid w:val="00CD06E2"/>
    <w:rsid w:val="00CD30E6"/>
    <w:rsid w:val="00CE21A1"/>
    <w:rsid w:val="00CE3EA5"/>
    <w:rsid w:val="00CE7352"/>
    <w:rsid w:val="00CF12FE"/>
    <w:rsid w:val="00CF2A18"/>
    <w:rsid w:val="00CF3E72"/>
    <w:rsid w:val="00D00C48"/>
    <w:rsid w:val="00D02039"/>
    <w:rsid w:val="00D04C92"/>
    <w:rsid w:val="00D15FA3"/>
    <w:rsid w:val="00D203E5"/>
    <w:rsid w:val="00D3006F"/>
    <w:rsid w:val="00D3096F"/>
    <w:rsid w:val="00D30C5C"/>
    <w:rsid w:val="00D37D4B"/>
    <w:rsid w:val="00D40741"/>
    <w:rsid w:val="00D43EBE"/>
    <w:rsid w:val="00D45333"/>
    <w:rsid w:val="00D6693C"/>
    <w:rsid w:val="00D66CF5"/>
    <w:rsid w:val="00D66E32"/>
    <w:rsid w:val="00D67A82"/>
    <w:rsid w:val="00D71EF8"/>
    <w:rsid w:val="00D726FC"/>
    <w:rsid w:val="00D76255"/>
    <w:rsid w:val="00D76E03"/>
    <w:rsid w:val="00D80139"/>
    <w:rsid w:val="00D80D17"/>
    <w:rsid w:val="00D8736C"/>
    <w:rsid w:val="00D910D7"/>
    <w:rsid w:val="00DA66B1"/>
    <w:rsid w:val="00DB1F29"/>
    <w:rsid w:val="00DB42F6"/>
    <w:rsid w:val="00DB4754"/>
    <w:rsid w:val="00DC0226"/>
    <w:rsid w:val="00DC08A6"/>
    <w:rsid w:val="00DC4AB9"/>
    <w:rsid w:val="00DD0057"/>
    <w:rsid w:val="00DD3D68"/>
    <w:rsid w:val="00DD43CB"/>
    <w:rsid w:val="00DE700B"/>
    <w:rsid w:val="00DF4127"/>
    <w:rsid w:val="00DF492B"/>
    <w:rsid w:val="00E007D8"/>
    <w:rsid w:val="00E0195D"/>
    <w:rsid w:val="00E01C37"/>
    <w:rsid w:val="00E02087"/>
    <w:rsid w:val="00E11D59"/>
    <w:rsid w:val="00E14C17"/>
    <w:rsid w:val="00E1641D"/>
    <w:rsid w:val="00E21FEA"/>
    <w:rsid w:val="00E2514D"/>
    <w:rsid w:val="00E30B47"/>
    <w:rsid w:val="00E30CD4"/>
    <w:rsid w:val="00E30FE6"/>
    <w:rsid w:val="00E36B2D"/>
    <w:rsid w:val="00E42F12"/>
    <w:rsid w:val="00E4506D"/>
    <w:rsid w:val="00E5338E"/>
    <w:rsid w:val="00E53AB4"/>
    <w:rsid w:val="00E53CA1"/>
    <w:rsid w:val="00E60CFB"/>
    <w:rsid w:val="00E67E46"/>
    <w:rsid w:val="00E72C5B"/>
    <w:rsid w:val="00E74A1F"/>
    <w:rsid w:val="00E8031D"/>
    <w:rsid w:val="00E80DF9"/>
    <w:rsid w:val="00E95FCE"/>
    <w:rsid w:val="00E971BB"/>
    <w:rsid w:val="00EA4B01"/>
    <w:rsid w:val="00EA5F2E"/>
    <w:rsid w:val="00EA74A5"/>
    <w:rsid w:val="00EB2C66"/>
    <w:rsid w:val="00EB3A75"/>
    <w:rsid w:val="00EC298E"/>
    <w:rsid w:val="00ED1394"/>
    <w:rsid w:val="00ED2D07"/>
    <w:rsid w:val="00ED366C"/>
    <w:rsid w:val="00ED6BFF"/>
    <w:rsid w:val="00EE1414"/>
    <w:rsid w:val="00F00F82"/>
    <w:rsid w:val="00F05226"/>
    <w:rsid w:val="00F07545"/>
    <w:rsid w:val="00F121C0"/>
    <w:rsid w:val="00F22947"/>
    <w:rsid w:val="00F25B5F"/>
    <w:rsid w:val="00F31E94"/>
    <w:rsid w:val="00F40950"/>
    <w:rsid w:val="00F413B0"/>
    <w:rsid w:val="00F51DB7"/>
    <w:rsid w:val="00F52687"/>
    <w:rsid w:val="00F60134"/>
    <w:rsid w:val="00F66895"/>
    <w:rsid w:val="00F747E4"/>
    <w:rsid w:val="00F81642"/>
    <w:rsid w:val="00F858C8"/>
    <w:rsid w:val="00F91699"/>
    <w:rsid w:val="00F91C4E"/>
    <w:rsid w:val="00F97DB8"/>
    <w:rsid w:val="00FA1984"/>
    <w:rsid w:val="00FA430B"/>
    <w:rsid w:val="00FA6ABA"/>
    <w:rsid w:val="00FA7547"/>
    <w:rsid w:val="00FB06BA"/>
    <w:rsid w:val="00FB1853"/>
    <w:rsid w:val="00FB548F"/>
    <w:rsid w:val="00FC5953"/>
    <w:rsid w:val="00FC6E1E"/>
    <w:rsid w:val="00FD197D"/>
    <w:rsid w:val="00FD31DE"/>
    <w:rsid w:val="00FD7B16"/>
    <w:rsid w:val="00FE13BC"/>
    <w:rsid w:val="00FE3BA8"/>
    <w:rsid w:val="00FE4FE9"/>
    <w:rsid w:val="00FE5ACB"/>
    <w:rsid w:val="00FF44B3"/>
    <w:rsid w:val="00FF77CD"/>
    <w:rsid w:val="0100B531"/>
    <w:rsid w:val="01082C4E"/>
    <w:rsid w:val="0118B830"/>
    <w:rsid w:val="0119C134"/>
    <w:rsid w:val="0132B74E"/>
    <w:rsid w:val="01374A47"/>
    <w:rsid w:val="01430BA3"/>
    <w:rsid w:val="01642427"/>
    <w:rsid w:val="0168570E"/>
    <w:rsid w:val="018D1A68"/>
    <w:rsid w:val="018E7B72"/>
    <w:rsid w:val="018F8CE6"/>
    <w:rsid w:val="019FC511"/>
    <w:rsid w:val="01AAC814"/>
    <w:rsid w:val="01CE3192"/>
    <w:rsid w:val="01E0B7E0"/>
    <w:rsid w:val="0203A889"/>
    <w:rsid w:val="021FB6EE"/>
    <w:rsid w:val="022BEF28"/>
    <w:rsid w:val="02826F11"/>
    <w:rsid w:val="02927D0B"/>
    <w:rsid w:val="02A38A97"/>
    <w:rsid w:val="02B8EB94"/>
    <w:rsid w:val="02BA1AD2"/>
    <w:rsid w:val="02C4B11B"/>
    <w:rsid w:val="02CBCC4D"/>
    <w:rsid w:val="02D3E79E"/>
    <w:rsid w:val="03453E8E"/>
    <w:rsid w:val="034FE45A"/>
    <w:rsid w:val="034FEEAD"/>
    <w:rsid w:val="035EC35B"/>
    <w:rsid w:val="0365C9F2"/>
    <w:rsid w:val="036CCDBE"/>
    <w:rsid w:val="03883FA0"/>
    <w:rsid w:val="03ADF79F"/>
    <w:rsid w:val="03AF0F32"/>
    <w:rsid w:val="03B6AFF6"/>
    <w:rsid w:val="03BD6FEE"/>
    <w:rsid w:val="03C8712B"/>
    <w:rsid w:val="03DD6243"/>
    <w:rsid w:val="03E9E124"/>
    <w:rsid w:val="041E8CAB"/>
    <w:rsid w:val="043AFD11"/>
    <w:rsid w:val="0477E5C1"/>
    <w:rsid w:val="0496ADF5"/>
    <w:rsid w:val="049A891F"/>
    <w:rsid w:val="049D3CD3"/>
    <w:rsid w:val="04B3D885"/>
    <w:rsid w:val="04B9490D"/>
    <w:rsid w:val="04BE3D76"/>
    <w:rsid w:val="04C3D139"/>
    <w:rsid w:val="04CC13B6"/>
    <w:rsid w:val="04D8EBE6"/>
    <w:rsid w:val="04E8C87D"/>
    <w:rsid w:val="04F1A2A6"/>
    <w:rsid w:val="04F820ED"/>
    <w:rsid w:val="04FED68E"/>
    <w:rsid w:val="054992FA"/>
    <w:rsid w:val="057346C3"/>
    <w:rsid w:val="05777235"/>
    <w:rsid w:val="059FB3EB"/>
    <w:rsid w:val="05ADE7B4"/>
    <w:rsid w:val="05C16C10"/>
    <w:rsid w:val="05D60DC0"/>
    <w:rsid w:val="05F08C56"/>
    <w:rsid w:val="0613B622"/>
    <w:rsid w:val="06167CC6"/>
    <w:rsid w:val="062127E0"/>
    <w:rsid w:val="064CAD72"/>
    <w:rsid w:val="064F787C"/>
    <w:rsid w:val="06716D33"/>
    <w:rsid w:val="0673CD2D"/>
    <w:rsid w:val="067D3668"/>
    <w:rsid w:val="068010DD"/>
    <w:rsid w:val="0687D4ED"/>
    <w:rsid w:val="06B38399"/>
    <w:rsid w:val="06B655A8"/>
    <w:rsid w:val="06E10F52"/>
    <w:rsid w:val="06F132AE"/>
    <w:rsid w:val="071381A1"/>
    <w:rsid w:val="073E43D2"/>
    <w:rsid w:val="077B1ABE"/>
    <w:rsid w:val="0796A8BB"/>
    <w:rsid w:val="07AF8683"/>
    <w:rsid w:val="07BF2469"/>
    <w:rsid w:val="07D0C28B"/>
    <w:rsid w:val="07F1D950"/>
    <w:rsid w:val="08074AAE"/>
    <w:rsid w:val="082D5655"/>
    <w:rsid w:val="085BB0C3"/>
    <w:rsid w:val="087C3F7F"/>
    <w:rsid w:val="08844C72"/>
    <w:rsid w:val="088A2119"/>
    <w:rsid w:val="08B8B284"/>
    <w:rsid w:val="08C4B820"/>
    <w:rsid w:val="08CA1FD4"/>
    <w:rsid w:val="08F01BDD"/>
    <w:rsid w:val="09171819"/>
    <w:rsid w:val="092513CF"/>
    <w:rsid w:val="092A02CA"/>
    <w:rsid w:val="09302FCE"/>
    <w:rsid w:val="093FCC4A"/>
    <w:rsid w:val="094B56E4"/>
    <w:rsid w:val="09537329"/>
    <w:rsid w:val="09809E36"/>
    <w:rsid w:val="0985B217"/>
    <w:rsid w:val="09A6B565"/>
    <w:rsid w:val="09A8F375"/>
    <w:rsid w:val="09C0B4C7"/>
    <w:rsid w:val="09DD5CA1"/>
    <w:rsid w:val="09E30BAF"/>
    <w:rsid w:val="09EDF66A"/>
    <w:rsid w:val="0A05740A"/>
    <w:rsid w:val="0A25B447"/>
    <w:rsid w:val="0A337E96"/>
    <w:rsid w:val="0A4003E8"/>
    <w:rsid w:val="0A43A1CB"/>
    <w:rsid w:val="0A4CB056"/>
    <w:rsid w:val="0A5120BA"/>
    <w:rsid w:val="0A648722"/>
    <w:rsid w:val="0A734A93"/>
    <w:rsid w:val="0A9162AF"/>
    <w:rsid w:val="0AA26965"/>
    <w:rsid w:val="0AB94708"/>
    <w:rsid w:val="0AC07CEA"/>
    <w:rsid w:val="0B091748"/>
    <w:rsid w:val="0B172620"/>
    <w:rsid w:val="0B172B0C"/>
    <w:rsid w:val="0B1AD14F"/>
    <w:rsid w:val="0B733C68"/>
    <w:rsid w:val="0B73655B"/>
    <w:rsid w:val="0B8A0434"/>
    <w:rsid w:val="0B8A6F56"/>
    <w:rsid w:val="0B8F109C"/>
    <w:rsid w:val="0BA1446B"/>
    <w:rsid w:val="0BB4F34D"/>
    <w:rsid w:val="0BB7C73F"/>
    <w:rsid w:val="0BCD0993"/>
    <w:rsid w:val="0BD6E4BF"/>
    <w:rsid w:val="0BD9FA5E"/>
    <w:rsid w:val="0BE17D1C"/>
    <w:rsid w:val="0BE2CC1D"/>
    <w:rsid w:val="0C1F0B8F"/>
    <w:rsid w:val="0C236FF5"/>
    <w:rsid w:val="0C40A055"/>
    <w:rsid w:val="0C85FBB2"/>
    <w:rsid w:val="0C8C9892"/>
    <w:rsid w:val="0C8F2F4B"/>
    <w:rsid w:val="0C9A9C78"/>
    <w:rsid w:val="0CA195B5"/>
    <w:rsid w:val="0CB29B09"/>
    <w:rsid w:val="0CB6A1B0"/>
    <w:rsid w:val="0CD76E97"/>
    <w:rsid w:val="0CE2F35B"/>
    <w:rsid w:val="0CF1899B"/>
    <w:rsid w:val="0D05A5A1"/>
    <w:rsid w:val="0D3ACB7F"/>
    <w:rsid w:val="0D3AFA41"/>
    <w:rsid w:val="0D64DF5E"/>
    <w:rsid w:val="0D863F86"/>
    <w:rsid w:val="0D8D250E"/>
    <w:rsid w:val="0D9F8056"/>
    <w:rsid w:val="0DAF2DCB"/>
    <w:rsid w:val="0DC9D5B4"/>
    <w:rsid w:val="0E3B904E"/>
    <w:rsid w:val="0E486A93"/>
    <w:rsid w:val="0E525F4A"/>
    <w:rsid w:val="0E57F5B4"/>
    <w:rsid w:val="0E9E2E8C"/>
    <w:rsid w:val="0EB8807C"/>
    <w:rsid w:val="0EEB2212"/>
    <w:rsid w:val="0EF6D5F2"/>
    <w:rsid w:val="0EF90850"/>
    <w:rsid w:val="0F216D02"/>
    <w:rsid w:val="0F5516D8"/>
    <w:rsid w:val="0F5652F9"/>
    <w:rsid w:val="0F697834"/>
    <w:rsid w:val="0F7E572A"/>
    <w:rsid w:val="0F944FF9"/>
    <w:rsid w:val="0F98F971"/>
    <w:rsid w:val="0F9C9646"/>
    <w:rsid w:val="0FBA9868"/>
    <w:rsid w:val="0FDE0F83"/>
    <w:rsid w:val="0FE41455"/>
    <w:rsid w:val="10069236"/>
    <w:rsid w:val="100B3AF8"/>
    <w:rsid w:val="100B991C"/>
    <w:rsid w:val="1030F441"/>
    <w:rsid w:val="1038B00E"/>
    <w:rsid w:val="1051DB39"/>
    <w:rsid w:val="105967D5"/>
    <w:rsid w:val="105D7557"/>
    <w:rsid w:val="10758282"/>
    <w:rsid w:val="1088645E"/>
    <w:rsid w:val="10A13D56"/>
    <w:rsid w:val="10AD867A"/>
    <w:rsid w:val="10B086C0"/>
    <w:rsid w:val="10B7B71E"/>
    <w:rsid w:val="10C59FC9"/>
    <w:rsid w:val="10C69B5B"/>
    <w:rsid w:val="11302267"/>
    <w:rsid w:val="116AC3CA"/>
    <w:rsid w:val="1175F80D"/>
    <w:rsid w:val="117F4577"/>
    <w:rsid w:val="1197DE7B"/>
    <w:rsid w:val="11D0BD26"/>
    <w:rsid w:val="11E01D5B"/>
    <w:rsid w:val="120DD993"/>
    <w:rsid w:val="127C696D"/>
    <w:rsid w:val="128CA44D"/>
    <w:rsid w:val="129240DE"/>
    <w:rsid w:val="129FBE68"/>
    <w:rsid w:val="12A76926"/>
    <w:rsid w:val="12A92042"/>
    <w:rsid w:val="12AE3F75"/>
    <w:rsid w:val="12DBA123"/>
    <w:rsid w:val="13163154"/>
    <w:rsid w:val="1316B241"/>
    <w:rsid w:val="13262D40"/>
    <w:rsid w:val="133DF947"/>
    <w:rsid w:val="1374E725"/>
    <w:rsid w:val="13B49303"/>
    <w:rsid w:val="13CB727D"/>
    <w:rsid w:val="13D4C146"/>
    <w:rsid w:val="13E5273C"/>
    <w:rsid w:val="1410B7BA"/>
    <w:rsid w:val="1429C798"/>
    <w:rsid w:val="143A6A8D"/>
    <w:rsid w:val="144914F6"/>
    <w:rsid w:val="1450611E"/>
    <w:rsid w:val="149C44AD"/>
    <w:rsid w:val="14AC118D"/>
    <w:rsid w:val="14CE8CB1"/>
    <w:rsid w:val="14D0FCA9"/>
    <w:rsid w:val="14D49340"/>
    <w:rsid w:val="14D9BF10"/>
    <w:rsid w:val="14E18A40"/>
    <w:rsid w:val="14F730BE"/>
    <w:rsid w:val="15254C5C"/>
    <w:rsid w:val="1536D213"/>
    <w:rsid w:val="1571CC11"/>
    <w:rsid w:val="157D98A1"/>
    <w:rsid w:val="15AED498"/>
    <w:rsid w:val="15D8BC56"/>
    <w:rsid w:val="15E0E288"/>
    <w:rsid w:val="15E45FF0"/>
    <w:rsid w:val="15EB38D9"/>
    <w:rsid w:val="15F09E77"/>
    <w:rsid w:val="15FC19EA"/>
    <w:rsid w:val="1640B5D9"/>
    <w:rsid w:val="1649771E"/>
    <w:rsid w:val="165265A5"/>
    <w:rsid w:val="1659E6EF"/>
    <w:rsid w:val="166F1BD8"/>
    <w:rsid w:val="1677A4E5"/>
    <w:rsid w:val="167F847D"/>
    <w:rsid w:val="16857B5F"/>
    <w:rsid w:val="16955F45"/>
    <w:rsid w:val="16ECE5E0"/>
    <w:rsid w:val="1706534F"/>
    <w:rsid w:val="173F8B0C"/>
    <w:rsid w:val="17629741"/>
    <w:rsid w:val="176EC67E"/>
    <w:rsid w:val="17950EE8"/>
    <w:rsid w:val="17B32F73"/>
    <w:rsid w:val="17D7B479"/>
    <w:rsid w:val="181632AE"/>
    <w:rsid w:val="182100E8"/>
    <w:rsid w:val="1841DB38"/>
    <w:rsid w:val="1843C4C1"/>
    <w:rsid w:val="18518E50"/>
    <w:rsid w:val="190399C6"/>
    <w:rsid w:val="191642AE"/>
    <w:rsid w:val="193A3F13"/>
    <w:rsid w:val="195606FE"/>
    <w:rsid w:val="1975B910"/>
    <w:rsid w:val="19924E83"/>
    <w:rsid w:val="19988FCA"/>
    <w:rsid w:val="19BCB08E"/>
    <w:rsid w:val="19CB9202"/>
    <w:rsid w:val="19DA20DA"/>
    <w:rsid w:val="19EF80BC"/>
    <w:rsid w:val="19FC6A17"/>
    <w:rsid w:val="1A23855A"/>
    <w:rsid w:val="1A292B56"/>
    <w:rsid w:val="1A5468C0"/>
    <w:rsid w:val="1A70148D"/>
    <w:rsid w:val="1A72B43C"/>
    <w:rsid w:val="1AB6DBB8"/>
    <w:rsid w:val="1ACC559B"/>
    <w:rsid w:val="1ACD3E7E"/>
    <w:rsid w:val="1ACE2F1A"/>
    <w:rsid w:val="1AD4D68B"/>
    <w:rsid w:val="1AD73685"/>
    <w:rsid w:val="1ADA0CDE"/>
    <w:rsid w:val="1ADEF233"/>
    <w:rsid w:val="1AF0982C"/>
    <w:rsid w:val="1AFA333C"/>
    <w:rsid w:val="1B1A7261"/>
    <w:rsid w:val="1B2EA4A8"/>
    <w:rsid w:val="1B4807BE"/>
    <w:rsid w:val="1B55C56F"/>
    <w:rsid w:val="1B75D343"/>
    <w:rsid w:val="1B7BC58E"/>
    <w:rsid w:val="1BB53BC0"/>
    <w:rsid w:val="1BBF6317"/>
    <w:rsid w:val="1BC4F977"/>
    <w:rsid w:val="1BF16F77"/>
    <w:rsid w:val="1BF595F6"/>
    <w:rsid w:val="1C4EB5AC"/>
    <w:rsid w:val="1C5B01CF"/>
    <w:rsid w:val="1C7A852B"/>
    <w:rsid w:val="1CA87ECC"/>
    <w:rsid w:val="1CCDAC31"/>
    <w:rsid w:val="1CF3C46B"/>
    <w:rsid w:val="1D1735E4"/>
    <w:rsid w:val="1D2F8C4E"/>
    <w:rsid w:val="1D43A539"/>
    <w:rsid w:val="1D44C8A6"/>
    <w:rsid w:val="1D4CCC24"/>
    <w:rsid w:val="1D4DBF1B"/>
    <w:rsid w:val="1D508C3A"/>
    <w:rsid w:val="1D5E8DDA"/>
    <w:rsid w:val="1D8C83F1"/>
    <w:rsid w:val="1D8D6C22"/>
    <w:rsid w:val="1D933E4D"/>
    <w:rsid w:val="1DB9E67D"/>
    <w:rsid w:val="1DCACC5D"/>
    <w:rsid w:val="1DDBF5C9"/>
    <w:rsid w:val="1E35C0B2"/>
    <w:rsid w:val="1E7CC912"/>
    <w:rsid w:val="1EA6CE4D"/>
    <w:rsid w:val="1EB30645"/>
    <w:rsid w:val="1EB3E85B"/>
    <w:rsid w:val="1EC24423"/>
    <w:rsid w:val="1ED8B1C7"/>
    <w:rsid w:val="1EF29CBA"/>
    <w:rsid w:val="1F263C1F"/>
    <w:rsid w:val="1F28AEC4"/>
    <w:rsid w:val="1F6C9692"/>
    <w:rsid w:val="1F923462"/>
    <w:rsid w:val="1FB5AA66"/>
    <w:rsid w:val="1FC1DDBB"/>
    <w:rsid w:val="1FCBF6D5"/>
    <w:rsid w:val="1FD86E77"/>
    <w:rsid w:val="1FEAABCD"/>
    <w:rsid w:val="1FFB8610"/>
    <w:rsid w:val="200AE769"/>
    <w:rsid w:val="2057AD04"/>
    <w:rsid w:val="2069F40D"/>
    <w:rsid w:val="206EDDEF"/>
    <w:rsid w:val="20855FDD"/>
    <w:rsid w:val="209D5B0C"/>
    <w:rsid w:val="20B418E1"/>
    <w:rsid w:val="20BAC430"/>
    <w:rsid w:val="20CB9C6E"/>
    <w:rsid w:val="20CDA60C"/>
    <w:rsid w:val="20CECDAB"/>
    <w:rsid w:val="20DCA66C"/>
    <w:rsid w:val="211A63D9"/>
    <w:rsid w:val="212022F9"/>
    <w:rsid w:val="2122B2D1"/>
    <w:rsid w:val="21350B5A"/>
    <w:rsid w:val="215A8A47"/>
    <w:rsid w:val="216712BF"/>
    <w:rsid w:val="216E1B1F"/>
    <w:rsid w:val="2183C950"/>
    <w:rsid w:val="21A666FC"/>
    <w:rsid w:val="21A6EF64"/>
    <w:rsid w:val="21B6133C"/>
    <w:rsid w:val="21D641D5"/>
    <w:rsid w:val="21E541B2"/>
    <w:rsid w:val="224F14AF"/>
    <w:rsid w:val="2267CD97"/>
    <w:rsid w:val="227F5DAB"/>
    <w:rsid w:val="229A8E06"/>
    <w:rsid w:val="22AF1A84"/>
    <w:rsid w:val="22CAEB0D"/>
    <w:rsid w:val="22CFD29F"/>
    <w:rsid w:val="22D0DBBB"/>
    <w:rsid w:val="22E07550"/>
    <w:rsid w:val="22FB3EEF"/>
    <w:rsid w:val="23072B0C"/>
    <w:rsid w:val="23157112"/>
    <w:rsid w:val="2317587F"/>
    <w:rsid w:val="231FA9A5"/>
    <w:rsid w:val="2324252F"/>
    <w:rsid w:val="23254378"/>
    <w:rsid w:val="234AEA96"/>
    <w:rsid w:val="2356A22F"/>
    <w:rsid w:val="23752A37"/>
    <w:rsid w:val="23CA67A0"/>
    <w:rsid w:val="23CAB0D1"/>
    <w:rsid w:val="23E8C2E9"/>
    <w:rsid w:val="23EAE510"/>
    <w:rsid w:val="23F9E57C"/>
    <w:rsid w:val="24315491"/>
    <w:rsid w:val="243A0DE1"/>
    <w:rsid w:val="244817E0"/>
    <w:rsid w:val="2452972F"/>
    <w:rsid w:val="245593DD"/>
    <w:rsid w:val="2457FAC6"/>
    <w:rsid w:val="2458C27A"/>
    <w:rsid w:val="2465A585"/>
    <w:rsid w:val="246B24F7"/>
    <w:rsid w:val="247A111C"/>
    <w:rsid w:val="24A4FDF8"/>
    <w:rsid w:val="24A50236"/>
    <w:rsid w:val="24CAD2F7"/>
    <w:rsid w:val="24CB0BA2"/>
    <w:rsid w:val="24E5C6C1"/>
    <w:rsid w:val="24E73023"/>
    <w:rsid w:val="2508DBE6"/>
    <w:rsid w:val="2519B924"/>
    <w:rsid w:val="25359D00"/>
    <w:rsid w:val="253F1CBE"/>
    <w:rsid w:val="25408911"/>
    <w:rsid w:val="255E1FC3"/>
    <w:rsid w:val="2576114B"/>
    <w:rsid w:val="258BEED9"/>
    <w:rsid w:val="2597F3DA"/>
    <w:rsid w:val="25A4CEFF"/>
    <w:rsid w:val="25C97924"/>
    <w:rsid w:val="25CA8808"/>
    <w:rsid w:val="263CE231"/>
    <w:rsid w:val="269DFB1E"/>
    <w:rsid w:val="26D55BB0"/>
    <w:rsid w:val="26D5C31B"/>
    <w:rsid w:val="274A792C"/>
    <w:rsid w:val="27665869"/>
    <w:rsid w:val="27747306"/>
    <w:rsid w:val="279923B0"/>
    <w:rsid w:val="27AEF281"/>
    <w:rsid w:val="27B54C23"/>
    <w:rsid w:val="27C47BAA"/>
    <w:rsid w:val="27CF1B34"/>
    <w:rsid w:val="27E86454"/>
    <w:rsid w:val="27F8B79F"/>
    <w:rsid w:val="27FA1492"/>
    <w:rsid w:val="2829496D"/>
    <w:rsid w:val="284F0E9B"/>
    <w:rsid w:val="285428C2"/>
    <w:rsid w:val="2871F575"/>
    <w:rsid w:val="28B0FAC5"/>
    <w:rsid w:val="28B4D815"/>
    <w:rsid w:val="28CEBC29"/>
    <w:rsid w:val="28E74671"/>
    <w:rsid w:val="29143882"/>
    <w:rsid w:val="292D60DF"/>
    <w:rsid w:val="2937530D"/>
    <w:rsid w:val="29507F7F"/>
    <w:rsid w:val="2954C0FF"/>
    <w:rsid w:val="295F372F"/>
    <w:rsid w:val="296059C6"/>
    <w:rsid w:val="29787359"/>
    <w:rsid w:val="297D2413"/>
    <w:rsid w:val="29B39B74"/>
    <w:rsid w:val="29E05BED"/>
    <w:rsid w:val="2A0A3207"/>
    <w:rsid w:val="2A0F43B8"/>
    <w:rsid w:val="2A34460A"/>
    <w:rsid w:val="2A3D516B"/>
    <w:rsid w:val="2A4DB0EA"/>
    <w:rsid w:val="2A5CED38"/>
    <w:rsid w:val="2A671844"/>
    <w:rsid w:val="2A9E7541"/>
    <w:rsid w:val="2AC483EC"/>
    <w:rsid w:val="2AF515FD"/>
    <w:rsid w:val="2B126989"/>
    <w:rsid w:val="2B1589CE"/>
    <w:rsid w:val="2B274057"/>
    <w:rsid w:val="2B77E7FC"/>
    <w:rsid w:val="2B9976D3"/>
    <w:rsid w:val="2BB64BC8"/>
    <w:rsid w:val="2BDF032C"/>
    <w:rsid w:val="2BF5F6F5"/>
    <w:rsid w:val="2C137516"/>
    <w:rsid w:val="2C13A746"/>
    <w:rsid w:val="2C1BCDB8"/>
    <w:rsid w:val="2C2A7FB1"/>
    <w:rsid w:val="2C34985A"/>
    <w:rsid w:val="2C440DBE"/>
    <w:rsid w:val="2C6C4198"/>
    <w:rsid w:val="2C6FBF68"/>
    <w:rsid w:val="2C8F0A83"/>
    <w:rsid w:val="2CB1A619"/>
    <w:rsid w:val="2CB5CFA3"/>
    <w:rsid w:val="2CBBD577"/>
    <w:rsid w:val="2CF44D9C"/>
    <w:rsid w:val="2CFEEF29"/>
    <w:rsid w:val="2D165105"/>
    <w:rsid w:val="2D44FCD9"/>
    <w:rsid w:val="2D89D9D0"/>
    <w:rsid w:val="2D952055"/>
    <w:rsid w:val="2DA22D4C"/>
    <w:rsid w:val="2DAD19BE"/>
    <w:rsid w:val="2DAF77A7"/>
    <w:rsid w:val="2DB5F7CE"/>
    <w:rsid w:val="2DD502A3"/>
    <w:rsid w:val="2DD63C01"/>
    <w:rsid w:val="2DD7F7CD"/>
    <w:rsid w:val="2DE31945"/>
    <w:rsid w:val="2DE7A9A5"/>
    <w:rsid w:val="2DF7D733"/>
    <w:rsid w:val="2DFFA45A"/>
    <w:rsid w:val="2E2D2920"/>
    <w:rsid w:val="2E35A721"/>
    <w:rsid w:val="2E50BDB9"/>
    <w:rsid w:val="2E52FA56"/>
    <w:rsid w:val="2E8166AF"/>
    <w:rsid w:val="2E9F2601"/>
    <w:rsid w:val="2EB6BD5A"/>
    <w:rsid w:val="2EDC6651"/>
    <w:rsid w:val="2F3FA76F"/>
    <w:rsid w:val="2F6D4FD7"/>
    <w:rsid w:val="2F73C82E"/>
    <w:rsid w:val="2FE9616E"/>
    <w:rsid w:val="30189843"/>
    <w:rsid w:val="30233CF3"/>
    <w:rsid w:val="30456FF6"/>
    <w:rsid w:val="306437D7"/>
    <w:rsid w:val="30A0D23C"/>
    <w:rsid w:val="30B5EFB1"/>
    <w:rsid w:val="30D16EE4"/>
    <w:rsid w:val="30E2B523"/>
    <w:rsid w:val="3103A0D0"/>
    <w:rsid w:val="3125F40D"/>
    <w:rsid w:val="315A63EC"/>
    <w:rsid w:val="31662704"/>
    <w:rsid w:val="316DCCC1"/>
    <w:rsid w:val="317FE050"/>
    <w:rsid w:val="3181D806"/>
    <w:rsid w:val="3188E9D7"/>
    <w:rsid w:val="3198E14F"/>
    <w:rsid w:val="31BE72E6"/>
    <w:rsid w:val="31CBA6EB"/>
    <w:rsid w:val="3227A557"/>
    <w:rsid w:val="324A4AA8"/>
    <w:rsid w:val="3267F7EB"/>
    <w:rsid w:val="3267FF1D"/>
    <w:rsid w:val="327D6461"/>
    <w:rsid w:val="32828D31"/>
    <w:rsid w:val="328E4A39"/>
    <w:rsid w:val="328FD81B"/>
    <w:rsid w:val="32CA8EAA"/>
    <w:rsid w:val="32E686D5"/>
    <w:rsid w:val="32E6FF85"/>
    <w:rsid w:val="32E7E674"/>
    <w:rsid w:val="32EEED0B"/>
    <w:rsid w:val="32F1FC38"/>
    <w:rsid w:val="32F904F4"/>
    <w:rsid w:val="330C4A67"/>
    <w:rsid w:val="33123851"/>
    <w:rsid w:val="3319BB61"/>
    <w:rsid w:val="336A553A"/>
    <w:rsid w:val="337FBA33"/>
    <w:rsid w:val="3388AF65"/>
    <w:rsid w:val="33A5D5C8"/>
    <w:rsid w:val="33B8028F"/>
    <w:rsid w:val="33C0CDE3"/>
    <w:rsid w:val="33C19D0E"/>
    <w:rsid w:val="33C83C5F"/>
    <w:rsid w:val="33CB6243"/>
    <w:rsid w:val="33CB7469"/>
    <w:rsid w:val="33DA16EC"/>
    <w:rsid w:val="33EC2762"/>
    <w:rsid w:val="33ECD577"/>
    <w:rsid w:val="33EF5D2B"/>
    <w:rsid w:val="340590CE"/>
    <w:rsid w:val="34184BEE"/>
    <w:rsid w:val="3455F339"/>
    <w:rsid w:val="348CA4B1"/>
    <w:rsid w:val="348EE26F"/>
    <w:rsid w:val="349BF843"/>
    <w:rsid w:val="34AC0EF5"/>
    <w:rsid w:val="34D5D273"/>
    <w:rsid w:val="34FEA303"/>
    <w:rsid w:val="35138F26"/>
    <w:rsid w:val="351E2D88"/>
    <w:rsid w:val="35236AA5"/>
    <w:rsid w:val="35321A40"/>
    <w:rsid w:val="3534FFA1"/>
    <w:rsid w:val="355F19DF"/>
    <w:rsid w:val="3579AF6F"/>
    <w:rsid w:val="358A8033"/>
    <w:rsid w:val="3594EBB5"/>
    <w:rsid w:val="3596803E"/>
    <w:rsid w:val="35A27273"/>
    <w:rsid w:val="35D8CE03"/>
    <w:rsid w:val="35DE4EED"/>
    <w:rsid w:val="35E2627A"/>
    <w:rsid w:val="35E61A99"/>
    <w:rsid w:val="362FDB1E"/>
    <w:rsid w:val="36368852"/>
    <w:rsid w:val="368F17D3"/>
    <w:rsid w:val="368F7B23"/>
    <w:rsid w:val="369D787B"/>
    <w:rsid w:val="36A80449"/>
    <w:rsid w:val="36B6738E"/>
    <w:rsid w:val="36BD2AAF"/>
    <w:rsid w:val="36C766EB"/>
    <w:rsid w:val="36D29241"/>
    <w:rsid w:val="36E0DCFA"/>
    <w:rsid w:val="36F19A8E"/>
    <w:rsid w:val="37209D23"/>
    <w:rsid w:val="376C53A6"/>
    <w:rsid w:val="37789D26"/>
    <w:rsid w:val="378A9C3C"/>
    <w:rsid w:val="3792C1A1"/>
    <w:rsid w:val="37B2720F"/>
    <w:rsid w:val="37BA70A8"/>
    <w:rsid w:val="37C1C6B6"/>
    <w:rsid w:val="37D6D143"/>
    <w:rsid w:val="37E86E6A"/>
    <w:rsid w:val="37FF9F55"/>
    <w:rsid w:val="38082E64"/>
    <w:rsid w:val="382573AF"/>
    <w:rsid w:val="383F02E5"/>
    <w:rsid w:val="38AE8312"/>
    <w:rsid w:val="38CE8E4F"/>
    <w:rsid w:val="39203A1A"/>
    <w:rsid w:val="393028A2"/>
    <w:rsid w:val="39372862"/>
    <w:rsid w:val="393F23CA"/>
    <w:rsid w:val="3986BA98"/>
    <w:rsid w:val="3992902C"/>
    <w:rsid w:val="39BB5A84"/>
    <w:rsid w:val="39BF7A89"/>
    <w:rsid w:val="39CF32AF"/>
    <w:rsid w:val="39D977C7"/>
    <w:rsid w:val="3A015B08"/>
    <w:rsid w:val="3A1F77DC"/>
    <w:rsid w:val="3A2A3EC7"/>
    <w:rsid w:val="3A3FDBEA"/>
    <w:rsid w:val="3A47CA9C"/>
    <w:rsid w:val="3A704A5E"/>
    <w:rsid w:val="3AA7D9C1"/>
    <w:rsid w:val="3AB79E33"/>
    <w:rsid w:val="3AB84F53"/>
    <w:rsid w:val="3AC7F96C"/>
    <w:rsid w:val="3AFDDBB9"/>
    <w:rsid w:val="3B025BB5"/>
    <w:rsid w:val="3B149E4F"/>
    <w:rsid w:val="3B227500"/>
    <w:rsid w:val="3B26E418"/>
    <w:rsid w:val="3B2A6784"/>
    <w:rsid w:val="3B4681C9"/>
    <w:rsid w:val="3B4A1E52"/>
    <w:rsid w:val="3B4F6CE8"/>
    <w:rsid w:val="3B79F5B2"/>
    <w:rsid w:val="3B7B5DF7"/>
    <w:rsid w:val="3B84C3EC"/>
    <w:rsid w:val="3BBA9E93"/>
    <w:rsid w:val="3BBD7F00"/>
    <w:rsid w:val="3BC42A1C"/>
    <w:rsid w:val="3BCD7C9F"/>
    <w:rsid w:val="3BE5D5C8"/>
    <w:rsid w:val="3BEEAA45"/>
    <w:rsid w:val="3BFDB671"/>
    <w:rsid w:val="3C05021A"/>
    <w:rsid w:val="3C0EC839"/>
    <w:rsid w:val="3C137D48"/>
    <w:rsid w:val="3C5107CE"/>
    <w:rsid w:val="3C635707"/>
    <w:rsid w:val="3C83CA19"/>
    <w:rsid w:val="3CAA7A8A"/>
    <w:rsid w:val="3CF0D57A"/>
    <w:rsid w:val="3CF61187"/>
    <w:rsid w:val="3D080AB1"/>
    <w:rsid w:val="3D2A4655"/>
    <w:rsid w:val="3D2F716C"/>
    <w:rsid w:val="3D46C2A7"/>
    <w:rsid w:val="3D9665DC"/>
    <w:rsid w:val="3DB9FAD8"/>
    <w:rsid w:val="3DE960D2"/>
    <w:rsid w:val="3DFAE109"/>
    <w:rsid w:val="3E29B22C"/>
    <w:rsid w:val="3E319FB2"/>
    <w:rsid w:val="3E35C2FF"/>
    <w:rsid w:val="3E3AF989"/>
    <w:rsid w:val="3E3D573E"/>
    <w:rsid w:val="3E42DA89"/>
    <w:rsid w:val="3E4E3C3C"/>
    <w:rsid w:val="3E74CBEB"/>
    <w:rsid w:val="3E7B3B5B"/>
    <w:rsid w:val="3E8285B6"/>
    <w:rsid w:val="3E9872EA"/>
    <w:rsid w:val="3EA2EF93"/>
    <w:rsid w:val="3EB7018B"/>
    <w:rsid w:val="3EC4FDD6"/>
    <w:rsid w:val="3EC8EE26"/>
    <w:rsid w:val="3EE0BE46"/>
    <w:rsid w:val="3EE36CC5"/>
    <w:rsid w:val="3F33EE22"/>
    <w:rsid w:val="3F4E4612"/>
    <w:rsid w:val="3F507432"/>
    <w:rsid w:val="3F6FB669"/>
    <w:rsid w:val="3F964675"/>
    <w:rsid w:val="3FCAC561"/>
    <w:rsid w:val="3FD6A92F"/>
    <w:rsid w:val="3FF071A6"/>
    <w:rsid w:val="3FF52291"/>
    <w:rsid w:val="40668C4B"/>
    <w:rsid w:val="40738B7F"/>
    <w:rsid w:val="40739F7E"/>
    <w:rsid w:val="40ABEAEF"/>
    <w:rsid w:val="40CC5CEA"/>
    <w:rsid w:val="40D8733D"/>
    <w:rsid w:val="40FC7C67"/>
    <w:rsid w:val="410B86CA"/>
    <w:rsid w:val="4123EA38"/>
    <w:rsid w:val="4154EAFB"/>
    <w:rsid w:val="417A7B4B"/>
    <w:rsid w:val="418C4207"/>
    <w:rsid w:val="41940ECA"/>
    <w:rsid w:val="41B827BF"/>
    <w:rsid w:val="41DDFB5B"/>
    <w:rsid w:val="41E9C69E"/>
    <w:rsid w:val="41FC4326"/>
    <w:rsid w:val="420056EF"/>
    <w:rsid w:val="42021AF0"/>
    <w:rsid w:val="424FA1DF"/>
    <w:rsid w:val="426AA37A"/>
    <w:rsid w:val="429642F7"/>
    <w:rsid w:val="4298E46C"/>
    <w:rsid w:val="429F4153"/>
    <w:rsid w:val="42BC8404"/>
    <w:rsid w:val="42C1B3F8"/>
    <w:rsid w:val="42CC1CD1"/>
    <w:rsid w:val="42D7ABBD"/>
    <w:rsid w:val="42E5DE93"/>
    <w:rsid w:val="42F4453D"/>
    <w:rsid w:val="433CDEFF"/>
    <w:rsid w:val="4355F6D9"/>
    <w:rsid w:val="436150AD"/>
    <w:rsid w:val="43ABD928"/>
    <w:rsid w:val="43BF2BF0"/>
    <w:rsid w:val="43D749B5"/>
    <w:rsid w:val="43EDECCD"/>
    <w:rsid w:val="441D5DCB"/>
    <w:rsid w:val="44370E8F"/>
    <w:rsid w:val="4440F765"/>
    <w:rsid w:val="4448CA3E"/>
    <w:rsid w:val="44A297E5"/>
    <w:rsid w:val="44CFE164"/>
    <w:rsid w:val="44F2A3A9"/>
    <w:rsid w:val="4518B25E"/>
    <w:rsid w:val="452EFCF9"/>
    <w:rsid w:val="45340C98"/>
    <w:rsid w:val="4551474C"/>
    <w:rsid w:val="457CCACE"/>
    <w:rsid w:val="457EAD92"/>
    <w:rsid w:val="458EAB66"/>
    <w:rsid w:val="45ED283C"/>
    <w:rsid w:val="45F954BA"/>
    <w:rsid w:val="463D1CB9"/>
    <w:rsid w:val="463D3F93"/>
    <w:rsid w:val="46722045"/>
    <w:rsid w:val="4694D3DC"/>
    <w:rsid w:val="46A5EB17"/>
    <w:rsid w:val="46C2C5D8"/>
    <w:rsid w:val="470C4ED3"/>
    <w:rsid w:val="474ECD66"/>
    <w:rsid w:val="474FDF63"/>
    <w:rsid w:val="47659014"/>
    <w:rsid w:val="47783DAD"/>
    <w:rsid w:val="47955E5E"/>
    <w:rsid w:val="479B42AE"/>
    <w:rsid w:val="47AFF966"/>
    <w:rsid w:val="47B56FEF"/>
    <w:rsid w:val="47C7B660"/>
    <w:rsid w:val="47CCE7DA"/>
    <w:rsid w:val="47F7D65F"/>
    <w:rsid w:val="484BE68B"/>
    <w:rsid w:val="488F3A1E"/>
    <w:rsid w:val="48CA9978"/>
    <w:rsid w:val="48D7FF40"/>
    <w:rsid w:val="48EA9DC7"/>
    <w:rsid w:val="49320E13"/>
    <w:rsid w:val="495F17F7"/>
    <w:rsid w:val="49AAF02E"/>
    <w:rsid w:val="49B446DA"/>
    <w:rsid w:val="49BC09FE"/>
    <w:rsid w:val="49CACA4A"/>
    <w:rsid w:val="49EA6BAA"/>
    <w:rsid w:val="49F11FA7"/>
    <w:rsid w:val="4A0B68D4"/>
    <w:rsid w:val="4A1B1AAC"/>
    <w:rsid w:val="4A29584F"/>
    <w:rsid w:val="4A7773D0"/>
    <w:rsid w:val="4A7F21F1"/>
    <w:rsid w:val="4AEFF3C6"/>
    <w:rsid w:val="4B207D5B"/>
    <w:rsid w:val="4B4BE63D"/>
    <w:rsid w:val="4B716EB4"/>
    <w:rsid w:val="4B7622FA"/>
    <w:rsid w:val="4BA19B51"/>
    <w:rsid w:val="4BAC4A19"/>
    <w:rsid w:val="4BB6EB0D"/>
    <w:rsid w:val="4BC58400"/>
    <w:rsid w:val="4BD39C1D"/>
    <w:rsid w:val="4BF14915"/>
    <w:rsid w:val="4BF2E1D0"/>
    <w:rsid w:val="4C1DAEA0"/>
    <w:rsid w:val="4C26E740"/>
    <w:rsid w:val="4C8D6BC0"/>
    <w:rsid w:val="4CB291D8"/>
    <w:rsid w:val="4CB9AF07"/>
    <w:rsid w:val="4CE6AC2C"/>
    <w:rsid w:val="4D0BB1AF"/>
    <w:rsid w:val="4D152C9B"/>
    <w:rsid w:val="4D3C97EA"/>
    <w:rsid w:val="4D5F0ECE"/>
    <w:rsid w:val="4D67F186"/>
    <w:rsid w:val="4D76DBFF"/>
    <w:rsid w:val="4DB03422"/>
    <w:rsid w:val="4DB15C07"/>
    <w:rsid w:val="4DD432A0"/>
    <w:rsid w:val="4DEA4CBA"/>
    <w:rsid w:val="4E0D9ED5"/>
    <w:rsid w:val="4E815FAC"/>
    <w:rsid w:val="4E89E7D7"/>
    <w:rsid w:val="4E9190DB"/>
    <w:rsid w:val="4E933E4E"/>
    <w:rsid w:val="4EBA6382"/>
    <w:rsid w:val="4EF5D082"/>
    <w:rsid w:val="4F13B3F6"/>
    <w:rsid w:val="4F1479EF"/>
    <w:rsid w:val="4F15F717"/>
    <w:rsid w:val="4F3EE8D1"/>
    <w:rsid w:val="4F4A096C"/>
    <w:rsid w:val="4F500AFA"/>
    <w:rsid w:val="4F671062"/>
    <w:rsid w:val="4F896E46"/>
    <w:rsid w:val="4FAD962A"/>
    <w:rsid w:val="4FAE31A0"/>
    <w:rsid w:val="4FD9F45A"/>
    <w:rsid w:val="4FF827B8"/>
    <w:rsid w:val="4FFED34A"/>
    <w:rsid w:val="500946CB"/>
    <w:rsid w:val="500CCBE8"/>
    <w:rsid w:val="501E1828"/>
    <w:rsid w:val="504CCD5D"/>
    <w:rsid w:val="50716344"/>
    <w:rsid w:val="50D56FC6"/>
    <w:rsid w:val="510F1477"/>
    <w:rsid w:val="512065E8"/>
    <w:rsid w:val="5138A2CA"/>
    <w:rsid w:val="5155A598"/>
    <w:rsid w:val="517776B8"/>
    <w:rsid w:val="517816A7"/>
    <w:rsid w:val="517F643E"/>
    <w:rsid w:val="518E9FCA"/>
    <w:rsid w:val="51D1933F"/>
    <w:rsid w:val="51F582B7"/>
    <w:rsid w:val="521E7F69"/>
    <w:rsid w:val="524BBB0B"/>
    <w:rsid w:val="5259B850"/>
    <w:rsid w:val="526843D7"/>
    <w:rsid w:val="52750074"/>
    <w:rsid w:val="527E0DE8"/>
    <w:rsid w:val="527F317D"/>
    <w:rsid w:val="5284CD2A"/>
    <w:rsid w:val="5289C9E3"/>
    <w:rsid w:val="52A366BF"/>
    <w:rsid w:val="52BBA1FA"/>
    <w:rsid w:val="52CDC38D"/>
    <w:rsid w:val="52D00A45"/>
    <w:rsid w:val="52D12873"/>
    <w:rsid w:val="5301DC47"/>
    <w:rsid w:val="5306B1A9"/>
    <w:rsid w:val="534596D8"/>
    <w:rsid w:val="53797871"/>
    <w:rsid w:val="5387219B"/>
    <w:rsid w:val="53902805"/>
    <w:rsid w:val="5391BB15"/>
    <w:rsid w:val="53970BBF"/>
    <w:rsid w:val="539F899F"/>
    <w:rsid w:val="53E7FDAF"/>
    <w:rsid w:val="53EDC370"/>
    <w:rsid w:val="53FCA385"/>
    <w:rsid w:val="54015C0D"/>
    <w:rsid w:val="542E254F"/>
    <w:rsid w:val="547748C8"/>
    <w:rsid w:val="5486860C"/>
    <w:rsid w:val="548DDBA9"/>
    <w:rsid w:val="5495DE0A"/>
    <w:rsid w:val="54C5E121"/>
    <w:rsid w:val="54C83FD7"/>
    <w:rsid w:val="54C9DEF7"/>
    <w:rsid w:val="54EEC2A7"/>
    <w:rsid w:val="54FC7CB1"/>
    <w:rsid w:val="5507EB04"/>
    <w:rsid w:val="550F0905"/>
    <w:rsid w:val="5533E5EC"/>
    <w:rsid w:val="5535FCB6"/>
    <w:rsid w:val="5573EFFA"/>
    <w:rsid w:val="55B268DE"/>
    <w:rsid w:val="55C9B682"/>
    <w:rsid w:val="55F31097"/>
    <w:rsid w:val="5654DCDA"/>
    <w:rsid w:val="5655BF3C"/>
    <w:rsid w:val="56643E69"/>
    <w:rsid w:val="56669FEE"/>
    <w:rsid w:val="567E3E88"/>
    <w:rsid w:val="56A7D837"/>
    <w:rsid w:val="56A92DE8"/>
    <w:rsid w:val="56B88724"/>
    <w:rsid w:val="56DDB9BE"/>
    <w:rsid w:val="571C0F1A"/>
    <w:rsid w:val="5731664E"/>
    <w:rsid w:val="57484945"/>
    <w:rsid w:val="5771876D"/>
    <w:rsid w:val="578EBBF1"/>
    <w:rsid w:val="57BB27DF"/>
    <w:rsid w:val="582DA7AD"/>
    <w:rsid w:val="58376FCF"/>
    <w:rsid w:val="58737F6E"/>
    <w:rsid w:val="588B4BE3"/>
    <w:rsid w:val="58923592"/>
    <w:rsid w:val="5894121F"/>
    <w:rsid w:val="58B5BBCB"/>
    <w:rsid w:val="58C3F4E5"/>
    <w:rsid w:val="58CAA7A2"/>
    <w:rsid w:val="58EC95C7"/>
    <w:rsid w:val="58F2DFFA"/>
    <w:rsid w:val="58F5B3D7"/>
    <w:rsid w:val="591593EF"/>
    <w:rsid w:val="596EBCC1"/>
    <w:rsid w:val="597EECB9"/>
    <w:rsid w:val="5981EDE1"/>
    <w:rsid w:val="5982889D"/>
    <w:rsid w:val="5989E963"/>
    <w:rsid w:val="59DB5C27"/>
    <w:rsid w:val="59F33E27"/>
    <w:rsid w:val="5A0FC7D7"/>
    <w:rsid w:val="5A135845"/>
    <w:rsid w:val="5A1F3390"/>
    <w:rsid w:val="5A22E45D"/>
    <w:rsid w:val="5A392BFC"/>
    <w:rsid w:val="5A44E1C5"/>
    <w:rsid w:val="5A582B53"/>
    <w:rsid w:val="5A666DC8"/>
    <w:rsid w:val="5A87A634"/>
    <w:rsid w:val="5A9D66D3"/>
    <w:rsid w:val="5AA52019"/>
    <w:rsid w:val="5AED6951"/>
    <w:rsid w:val="5AF34B09"/>
    <w:rsid w:val="5B486E17"/>
    <w:rsid w:val="5B51EFEB"/>
    <w:rsid w:val="5B5794F1"/>
    <w:rsid w:val="5B589643"/>
    <w:rsid w:val="5B7321C6"/>
    <w:rsid w:val="5B876D25"/>
    <w:rsid w:val="5B879088"/>
    <w:rsid w:val="5B9C1948"/>
    <w:rsid w:val="5B9C7081"/>
    <w:rsid w:val="5B9F79DD"/>
    <w:rsid w:val="5BC5CA36"/>
    <w:rsid w:val="5BD34803"/>
    <w:rsid w:val="5BE0B226"/>
    <w:rsid w:val="5BF0238A"/>
    <w:rsid w:val="5C0F7B6E"/>
    <w:rsid w:val="5C2BD033"/>
    <w:rsid w:val="5C6A1A9A"/>
    <w:rsid w:val="5CA422DD"/>
    <w:rsid w:val="5CB85FDF"/>
    <w:rsid w:val="5CCE9CA9"/>
    <w:rsid w:val="5CF3CCDF"/>
    <w:rsid w:val="5CF9D48C"/>
    <w:rsid w:val="5D2B5065"/>
    <w:rsid w:val="5D3B4A3E"/>
    <w:rsid w:val="5D4404EB"/>
    <w:rsid w:val="5D4C05DB"/>
    <w:rsid w:val="5D70CCBE"/>
    <w:rsid w:val="5D83891E"/>
    <w:rsid w:val="5DC486D6"/>
    <w:rsid w:val="5E02670B"/>
    <w:rsid w:val="5E082763"/>
    <w:rsid w:val="5E088ECF"/>
    <w:rsid w:val="5E33C7F6"/>
    <w:rsid w:val="5E6E7918"/>
    <w:rsid w:val="5E7C1BFB"/>
    <w:rsid w:val="5E903705"/>
    <w:rsid w:val="5EA7CB66"/>
    <w:rsid w:val="5EAECD4A"/>
    <w:rsid w:val="5EC720C6"/>
    <w:rsid w:val="5ECCA6D3"/>
    <w:rsid w:val="5ED08119"/>
    <w:rsid w:val="5ED71A9F"/>
    <w:rsid w:val="5F1C86F7"/>
    <w:rsid w:val="5F6FD007"/>
    <w:rsid w:val="5F70D7F6"/>
    <w:rsid w:val="5F8892FF"/>
    <w:rsid w:val="5FA663C1"/>
    <w:rsid w:val="5FD55325"/>
    <w:rsid w:val="5FDF5756"/>
    <w:rsid w:val="5FF50C71"/>
    <w:rsid w:val="5FF9B7A7"/>
    <w:rsid w:val="5FFF26AE"/>
    <w:rsid w:val="6000E13F"/>
    <w:rsid w:val="60014A23"/>
    <w:rsid w:val="6008FC90"/>
    <w:rsid w:val="601FFB84"/>
    <w:rsid w:val="60444371"/>
    <w:rsid w:val="604B3435"/>
    <w:rsid w:val="606F795C"/>
    <w:rsid w:val="606FEE80"/>
    <w:rsid w:val="60771603"/>
    <w:rsid w:val="607F2424"/>
    <w:rsid w:val="6090F560"/>
    <w:rsid w:val="6099E8E0"/>
    <w:rsid w:val="60B42349"/>
    <w:rsid w:val="60BB29E0"/>
    <w:rsid w:val="60D4BD5F"/>
    <w:rsid w:val="60D89B99"/>
    <w:rsid w:val="60EE4F8D"/>
    <w:rsid w:val="60F12354"/>
    <w:rsid w:val="6136CEA8"/>
    <w:rsid w:val="6148D040"/>
    <w:rsid w:val="61671C5C"/>
    <w:rsid w:val="61947590"/>
    <w:rsid w:val="61ACD882"/>
    <w:rsid w:val="61B2C7D2"/>
    <w:rsid w:val="61B6D5C1"/>
    <w:rsid w:val="61BD603D"/>
    <w:rsid w:val="61BFC017"/>
    <w:rsid w:val="61C63C96"/>
    <w:rsid w:val="61D99088"/>
    <w:rsid w:val="61E8D63B"/>
    <w:rsid w:val="61F94097"/>
    <w:rsid w:val="621268F4"/>
    <w:rsid w:val="6214B595"/>
    <w:rsid w:val="621905CC"/>
    <w:rsid w:val="624FF3AA"/>
    <w:rsid w:val="6253062F"/>
    <w:rsid w:val="62AFCDCB"/>
    <w:rsid w:val="62B80DEA"/>
    <w:rsid w:val="62E25B30"/>
    <w:rsid w:val="633B9B5E"/>
    <w:rsid w:val="6354A579"/>
    <w:rsid w:val="635C45DF"/>
    <w:rsid w:val="638D6FA9"/>
    <w:rsid w:val="63BD4863"/>
    <w:rsid w:val="63BDD5FD"/>
    <w:rsid w:val="643F8E16"/>
    <w:rsid w:val="644B9E2C"/>
    <w:rsid w:val="645AC455"/>
    <w:rsid w:val="646804A0"/>
    <w:rsid w:val="647D3C68"/>
    <w:rsid w:val="6490C06C"/>
    <w:rsid w:val="64B3C9D1"/>
    <w:rsid w:val="64B7EF01"/>
    <w:rsid w:val="64C23346"/>
    <w:rsid w:val="64E7EE48"/>
    <w:rsid w:val="64E87108"/>
    <w:rsid w:val="652AAB05"/>
    <w:rsid w:val="652EDE51"/>
    <w:rsid w:val="65827463"/>
    <w:rsid w:val="65E69897"/>
    <w:rsid w:val="6601A0ED"/>
    <w:rsid w:val="66206A6D"/>
    <w:rsid w:val="6622E624"/>
    <w:rsid w:val="66274937"/>
    <w:rsid w:val="664AD842"/>
    <w:rsid w:val="6688AE08"/>
    <w:rsid w:val="669234D9"/>
    <w:rsid w:val="6693C4A0"/>
    <w:rsid w:val="66A29ECD"/>
    <w:rsid w:val="66BA5822"/>
    <w:rsid w:val="66CAF8D7"/>
    <w:rsid w:val="670C11C7"/>
    <w:rsid w:val="67151476"/>
    <w:rsid w:val="672364CD"/>
    <w:rsid w:val="674393C1"/>
    <w:rsid w:val="677F8471"/>
    <w:rsid w:val="678C2BA2"/>
    <w:rsid w:val="67952C14"/>
    <w:rsid w:val="67A9F13B"/>
    <w:rsid w:val="67C1900F"/>
    <w:rsid w:val="67C69FB4"/>
    <w:rsid w:val="67E05826"/>
    <w:rsid w:val="680C6D89"/>
    <w:rsid w:val="6823A7D2"/>
    <w:rsid w:val="683C2EE9"/>
    <w:rsid w:val="683C8733"/>
    <w:rsid w:val="6848FCAD"/>
    <w:rsid w:val="687488DE"/>
    <w:rsid w:val="68949BC3"/>
    <w:rsid w:val="68B4BC24"/>
    <w:rsid w:val="68B6DB90"/>
    <w:rsid w:val="68BCCD0F"/>
    <w:rsid w:val="68BF352E"/>
    <w:rsid w:val="68DF038F"/>
    <w:rsid w:val="68DF6422"/>
    <w:rsid w:val="68E84586"/>
    <w:rsid w:val="68F4AFE1"/>
    <w:rsid w:val="690A533B"/>
    <w:rsid w:val="691F0F4F"/>
    <w:rsid w:val="6941ADFB"/>
    <w:rsid w:val="696A7A74"/>
    <w:rsid w:val="697826DF"/>
    <w:rsid w:val="69A099ED"/>
    <w:rsid w:val="69A82C69"/>
    <w:rsid w:val="69BE2F1D"/>
    <w:rsid w:val="69CC86A1"/>
    <w:rsid w:val="69F9DD5B"/>
    <w:rsid w:val="6A010596"/>
    <w:rsid w:val="6A22D236"/>
    <w:rsid w:val="6A33E8D7"/>
    <w:rsid w:val="6A5A01FF"/>
    <w:rsid w:val="6A5B89E0"/>
    <w:rsid w:val="6A8D76A9"/>
    <w:rsid w:val="6ACA9073"/>
    <w:rsid w:val="6AE46E03"/>
    <w:rsid w:val="6AF0D04C"/>
    <w:rsid w:val="6B034AE6"/>
    <w:rsid w:val="6B4AA535"/>
    <w:rsid w:val="6B60EE65"/>
    <w:rsid w:val="6B634DDD"/>
    <w:rsid w:val="6B6709F0"/>
    <w:rsid w:val="6B7FC11A"/>
    <w:rsid w:val="6BA2012F"/>
    <w:rsid w:val="6BBF0899"/>
    <w:rsid w:val="6BD0204F"/>
    <w:rsid w:val="6BD8A035"/>
    <w:rsid w:val="6C1E7297"/>
    <w:rsid w:val="6C4AA122"/>
    <w:rsid w:val="6C4F5AFE"/>
    <w:rsid w:val="6C513554"/>
    <w:rsid w:val="6C56B011"/>
    <w:rsid w:val="6C582EC2"/>
    <w:rsid w:val="6C5E181C"/>
    <w:rsid w:val="6C7F4BBE"/>
    <w:rsid w:val="6CA3325F"/>
    <w:rsid w:val="6CE94B0E"/>
    <w:rsid w:val="6D10CD37"/>
    <w:rsid w:val="6D2887A6"/>
    <w:rsid w:val="6D464C0D"/>
    <w:rsid w:val="6D4A238D"/>
    <w:rsid w:val="6D5E3D91"/>
    <w:rsid w:val="6D7A9E49"/>
    <w:rsid w:val="6D8A8BB4"/>
    <w:rsid w:val="6D91A2C1"/>
    <w:rsid w:val="6DC4CC40"/>
    <w:rsid w:val="6DD1DAE1"/>
    <w:rsid w:val="6DE0AE77"/>
    <w:rsid w:val="6DEAAA03"/>
    <w:rsid w:val="6DF28072"/>
    <w:rsid w:val="6E2B868B"/>
    <w:rsid w:val="6E4DE7CF"/>
    <w:rsid w:val="6E58323A"/>
    <w:rsid w:val="6E988F27"/>
    <w:rsid w:val="6E9E999F"/>
    <w:rsid w:val="6EAE289D"/>
    <w:rsid w:val="6ED5C97C"/>
    <w:rsid w:val="6ED6DD12"/>
    <w:rsid w:val="6EE5F3EE"/>
    <w:rsid w:val="6F0F8C8C"/>
    <w:rsid w:val="6F2B2846"/>
    <w:rsid w:val="6F302362"/>
    <w:rsid w:val="6F4EA5A6"/>
    <w:rsid w:val="6F52F201"/>
    <w:rsid w:val="6F5BBB9B"/>
    <w:rsid w:val="6F5F889B"/>
    <w:rsid w:val="6F6036B7"/>
    <w:rsid w:val="6F612CE4"/>
    <w:rsid w:val="6F67F0E9"/>
    <w:rsid w:val="6F862CDC"/>
    <w:rsid w:val="6FA34D94"/>
    <w:rsid w:val="6FBC503F"/>
    <w:rsid w:val="6FCC50DB"/>
    <w:rsid w:val="6FD189BF"/>
    <w:rsid w:val="6FD7BEFA"/>
    <w:rsid w:val="70181B2F"/>
    <w:rsid w:val="7028C293"/>
    <w:rsid w:val="702A791F"/>
    <w:rsid w:val="7043642C"/>
    <w:rsid w:val="7053D3F6"/>
    <w:rsid w:val="7056FC74"/>
    <w:rsid w:val="70664C9F"/>
    <w:rsid w:val="7073753A"/>
    <w:rsid w:val="70768947"/>
    <w:rsid w:val="70961541"/>
    <w:rsid w:val="709742AD"/>
    <w:rsid w:val="70A8C613"/>
    <w:rsid w:val="70D8E86D"/>
    <w:rsid w:val="70EA7607"/>
    <w:rsid w:val="70EA7EC1"/>
    <w:rsid w:val="70F3A6D5"/>
    <w:rsid w:val="70FDF111"/>
    <w:rsid w:val="710022A7"/>
    <w:rsid w:val="711C4B59"/>
    <w:rsid w:val="71332F6A"/>
    <w:rsid w:val="71599C8C"/>
    <w:rsid w:val="716C7C33"/>
    <w:rsid w:val="71738651"/>
    <w:rsid w:val="71794A05"/>
    <w:rsid w:val="718B6C06"/>
    <w:rsid w:val="719F5B44"/>
    <w:rsid w:val="71AC4627"/>
    <w:rsid w:val="71D02FE9"/>
    <w:rsid w:val="71E43E5A"/>
    <w:rsid w:val="71F7CC79"/>
    <w:rsid w:val="71FD66B7"/>
    <w:rsid w:val="720F3A6B"/>
    <w:rsid w:val="7231AEB4"/>
    <w:rsid w:val="723293BA"/>
    <w:rsid w:val="72599386"/>
    <w:rsid w:val="726D2190"/>
    <w:rsid w:val="727D6856"/>
    <w:rsid w:val="72A2C7C9"/>
    <w:rsid w:val="73480F23"/>
    <w:rsid w:val="73515D6F"/>
    <w:rsid w:val="7360E0FE"/>
    <w:rsid w:val="736A7FA8"/>
    <w:rsid w:val="7381DC6E"/>
    <w:rsid w:val="73869F94"/>
    <w:rsid w:val="738F539D"/>
    <w:rsid w:val="73939CDA"/>
    <w:rsid w:val="739C2301"/>
    <w:rsid w:val="73A0B45E"/>
    <w:rsid w:val="73A2D3B6"/>
    <w:rsid w:val="73BCE5FB"/>
    <w:rsid w:val="73C21E76"/>
    <w:rsid w:val="73DD44E3"/>
    <w:rsid w:val="73E4542A"/>
    <w:rsid w:val="73EF0764"/>
    <w:rsid w:val="73FEC81D"/>
    <w:rsid w:val="7408D3F3"/>
    <w:rsid w:val="742216C9"/>
    <w:rsid w:val="74346D61"/>
    <w:rsid w:val="74383B32"/>
    <w:rsid w:val="743E982A"/>
    <w:rsid w:val="7457C087"/>
    <w:rsid w:val="745FCDD5"/>
    <w:rsid w:val="747DB0F7"/>
    <w:rsid w:val="74AFDEEE"/>
    <w:rsid w:val="74B79AAB"/>
    <w:rsid w:val="74B82012"/>
    <w:rsid w:val="74B945D0"/>
    <w:rsid w:val="74CA7AFD"/>
    <w:rsid w:val="74F4B2C6"/>
    <w:rsid w:val="752F6D3B"/>
    <w:rsid w:val="7547DCD1"/>
    <w:rsid w:val="75646D73"/>
    <w:rsid w:val="757DD8AD"/>
    <w:rsid w:val="759EADDA"/>
    <w:rsid w:val="75A3F293"/>
    <w:rsid w:val="75A9B2DE"/>
    <w:rsid w:val="75AA0A18"/>
    <w:rsid w:val="75BDE72A"/>
    <w:rsid w:val="75D10443"/>
    <w:rsid w:val="75F390E8"/>
    <w:rsid w:val="75FFBE17"/>
    <w:rsid w:val="761B167B"/>
    <w:rsid w:val="762C03E2"/>
    <w:rsid w:val="762E8B7E"/>
    <w:rsid w:val="764553A7"/>
    <w:rsid w:val="7647D1B7"/>
    <w:rsid w:val="7694656C"/>
    <w:rsid w:val="76B1542F"/>
    <w:rsid w:val="76C6342C"/>
    <w:rsid w:val="76D6A9E1"/>
    <w:rsid w:val="77034CA3"/>
    <w:rsid w:val="770AEB9C"/>
    <w:rsid w:val="77180797"/>
    <w:rsid w:val="772BCBEF"/>
    <w:rsid w:val="77587270"/>
    <w:rsid w:val="775A3D39"/>
    <w:rsid w:val="777E9FDD"/>
    <w:rsid w:val="778010F3"/>
    <w:rsid w:val="7791B560"/>
    <w:rsid w:val="779CF3F9"/>
    <w:rsid w:val="779FD549"/>
    <w:rsid w:val="77BAC28A"/>
    <w:rsid w:val="77C4D240"/>
    <w:rsid w:val="77D32948"/>
    <w:rsid w:val="77FE768D"/>
    <w:rsid w:val="782A6D58"/>
    <w:rsid w:val="78438580"/>
    <w:rsid w:val="78460999"/>
    <w:rsid w:val="787370D5"/>
    <w:rsid w:val="78992A1E"/>
    <w:rsid w:val="789B6549"/>
    <w:rsid w:val="78B52702"/>
    <w:rsid w:val="78E1BFD9"/>
    <w:rsid w:val="792F7DF3"/>
    <w:rsid w:val="794EB50F"/>
    <w:rsid w:val="79783399"/>
    <w:rsid w:val="79820580"/>
    <w:rsid w:val="79C63DB9"/>
    <w:rsid w:val="79E54A93"/>
    <w:rsid w:val="79F51978"/>
    <w:rsid w:val="79FE3CE9"/>
    <w:rsid w:val="7A02FE7E"/>
    <w:rsid w:val="7A4F6A40"/>
    <w:rsid w:val="7A4FA859"/>
    <w:rsid w:val="7A70BD41"/>
    <w:rsid w:val="7A98EAC9"/>
    <w:rsid w:val="7AA0CB8E"/>
    <w:rsid w:val="7AAD6C1F"/>
    <w:rsid w:val="7ADAF589"/>
    <w:rsid w:val="7B07FCEB"/>
    <w:rsid w:val="7B1E310F"/>
    <w:rsid w:val="7B305C4E"/>
    <w:rsid w:val="7B4AC018"/>
    <w:rsid w:val="7B4F5FBB"/>
    <w:rsid w:val="7B7AEB59"/>
    <w:rsid w:val="7B9E4FFC"/>
    <w:rsid w:val="7BB53113"/>
    <w:rsid w:val="7BE6688F"/>
    <w:rsid w:val="7BEAF994"/>
    <w:rsid w:val="7C10EFC0"/>
    <w:rsid w:val="7C5E1AB6"/>
    <w:rsid w:val="7C7774E8"/>
    <w:rsid w:val="7C77C643"/>
    <w:rsid w:val="7C79944B"/>
    <w:rsid w:val="7C8496B0"/>
    <w:rsid w:val="7C9016C3"/>
    <w:rsid w:val="7C911C66"/>
    <w:rsid w:val="7C9B9E9C"/>
    <w:rsid w:val="7CAA099A"/>
    <w:rsid w:val="7CCC53ED"/>
    <w:rsid w:val="7CDBDE87"/>
    <w:rsid w:val="7CDE8087"/>
    <w:rsid w:val="7D0B1AEA"/>
    <w:rsid w:val="7D6E20BE"/>
    <w:rsid w:val="7DC54C77"/>
    <w:rsid w:val="7DFB48CE"/>
    <w:rsid w:val="7E22AFA7"/>
    <w:rsid w:val="7E306C57"/>
    <w:rsid w:val="7E3354FB"/>
    <w:rsid w:val="7E38A9D9"/>
    <w:rsid w:val="7E605344"/>
    <w:rsid w:val="7E7D2252"/>
    <w:rsid w:val="7EAFFD87"/>
    <w:rsid w:val="7EC1AA48"/>
    <w:rsid w:val="7ED64F81"/>
    <w:rsid w:val="7EE37185"/>
    <w:rsid w:val="7EECBCB8"/>
    <w:rsid w:val="7F025DB5"/>
    <w:rsid w:val="7F09F11F"/>
    <w:rsid w:val="7F188734"/>
    <w:rsid w:val="7F1F870A"/>
    <w:rsid w:val="7F4B577F"/>
    <w:rsid w:val="7F601DF1"/>
    <w:rsid w:val="7F793F70"/>
    <w:rsid w:val="7F8AC8AE"/>
    <w:rsid w:val="7FA0C9B5"/>
    <w:rsid w:val="7FA4749D"/>
    <w:rsid w:val="7FCEC6BB"/>
    <w:rsid w:val="7FDC0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441F79F"/>
  <w15:docId w15:val="{02222D86-EEAC-46A3-BB5A-712A96669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338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F1B32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uiPriority w:val="99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uiPriority w:val="99"/>
    <w:rsid w:val="00D43EBE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7678F4"/>
    <w:pPr>
      <w:ind w:left="720"/>
    </w:pPr>
    <w:rPr>
      <w:rFonts w:ascii="Calibri" w:eastAsiaTheme="minorHAnsi" w:hAnsi="Calibri" w:cs="Calibri"/>
      <w:sz w:val="22"/>
      <w:szCs w:val="22"/>
      <w:lang w:val="cs-CZ"/>
    </w:rPr>
  </w:style>
  <w:style w:type="paragraph" w:styleId="Revize">
    <w:name w:val="Revision"/>
    <w:hidden/>
    <w:uiPriority w:val="99"/>
    <w:semiHidden/>
    <w:rsid w:val="00CA24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search-term-highlight">
    <w:name w:val="search-term-highlight"/>
    <w:basedOn w:val="Standardnpsmoodstavce"/>
    <w:rsid w:val="007A4FA0"/>
  </w:style>
  <w:style w:type="character" w:styleId="Siln">
    <w:name w:val="Strong"/>
    <w:basedOn w:val="Standardnpsmoodstavce"/>
    <w:uiPriority w:val="22"/>
    <w:qFormat/>
    <w:rsid w:val="007A4FA0"/>
    <w:rPr>
      <w:b/>
      <w:bCs/>
    </w:rPr>
  </w:style>
  <w:style w:type="character" w:styleId="Zdraznn">
    <w:name w:val="Emphasis"/>
    <w:basedOn w:val="Standardnpsmoodstavce"/>
    <w:uiPriority w:val="20"/>
    <w:qFormat/>
    <w:rsid w:val="00E5338E"/>
    <w:rPr>
      <w:i/>
      <w:i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338E"/>
    <w:rPr>
      <w:rFonts w:asciiTheme="majorHAnsi" w:eastAsiaTheme="majorEastAsia" w:hAnsiTheme="majorHAnsi" w:cstheme="majorBidi"/>
      <w:color w:val="0F1B32" w:themeColor="accent1" w:themeShade="7F"/>
      <w:sz w:val="24"/>
      <w:szCs w:val="24"/>
      <w:lang w:eastAsia="en-US"/>
    </w:rPr>
  </w:style>
  <w:style w:type="paragraph" w:customStyle="1" w:styleId="paragraph">
    <w:name w:val="paragraph"/>
    <w:basedOn w:val="Normln"/>
    <w:rsid w:val="004F5891"/>
    <w:pPr>
      <w:spacing w:before="100" w:beforeAutospacing="1" w:after="100" w:afterAutospacing="1"/>
    </w:pPr>
    <w:rPr>
      <w:lang w:val="cs-CZ" w:eastAsia="cs-CZ"/>
    </w:rPr>
  </w:style>
  <w:style w:type="character" w:customStyle="1" w:styleId="spellingerror">
    <w:name w:val="spellingerror"/>
    <w:basedOn w:val="Standardnpsmoodstavce"/>
    <w:rsid w:val="004F5891"/>
  </w:style>
  <w:style w:type="character" w:customStyle="1" w:styleId="scxw106638316">
    <w:name w:val="scxw106638316"/>
    <w:basedOn w:val="Standardnpsmoodstavce"/>
    <w:rsid w:val="004F5891"/>
  </w:style>
  <w:style w:type="character" w:customStyle="1" w:styleId="eop">
    <w:name w:val="eop"/>
    <w:basedOn w:val="Standardnpsmoodstavce"/>
    <w:rsid w:val="004F5891"/>
  </w:style>
  <w:style w:type="character" w:customStyle="1" w:styleId="tabchar">
    <w:name w:val="tabchar"/>
    <w:basedOn w:val="Standardnpsmoodstavce"/>
    <w:rsid w:val="004F5891"/>
  </w:style>
  <w:style w:type="character" w:styleId="Nevyeenzmnka">
    <w:name w:val="Unresolved Mention"/>
    <w:basedOn w:val="Standardnpsmoodstavce"/>
    <w:uiPriority w:val="99"/>
    <w:semiHidden/>
    <w:unhideWhenUsed/>
    <w:rsid w:val="00301975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AB5429"/>
    <w:rPr>
      <w:color w:val="CAD1D3" w:themeColor="followedHyperlink"/>
      <w:u w:val="single"/>
    </w:rPr>
  </w:style>
  <w:style w:type="character" w:customStyle="1" w:styleId="scxw186059696">
    <w:name w:val="scxw186059696"/>
    <w:basedOn w:val="Standardnpsmoodstavce"/>
    <w:rsid w:val="00AA16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64520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92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30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71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0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46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93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19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0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20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0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8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5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07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3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39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22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58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75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0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5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1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vana.prochazkova@cbre.com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crestcom.cz/" TargetMode="External"/><Relationship Id="rId17" Type="http://schemas.openxmlformats.org/officeDocument/2006/relationships/hyperlink" Target="http://www.cbre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instagram.com/cbre_cz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mila.cadkova@crestcom.cz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linkedin.com/company/3585825?trk=tyah&amp;trkInfo=clickedVertical%253Acompany%252Cidx%253A1-1-1%252CtarId%253A1431360641868%252Ctas%253Acbre%2520czech%22%20\t%20%22_blank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facebook.com/pages/CBRE-News/626929170775263?ref=ts&amp;fref=ts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euribor-rates.eu/en/" TargetMode="External"/><Relationship Id="rId1" Type="http://schemas.openxmlformats.org/officeDocument/2006/relationships/hyperlink" Target="https://www.crestcom.cz/cz/tiskova-zprava/?id=4251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6" ma:contentTypeDescription="Vytvoří nový dokument" ma:contentTypeScope="" ma:versionID="c968a889a3b64b295f40acae0bc15082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05614cfc95c5aa8dc2c6487e65f18120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B87F6-E8E9-4F75-866E-3022E6EB15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598EDC-7A36-4C1D-8207-828580527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EAD2846-E3B4-4D7E-8F38-5E074F538E08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4.xml><?xml version="1.0" encoding="utf-8"?>
<ds:datastoreItem xmlns:ds="http://schemas.openxmlformats.org/officeDocument/2006/customXml" ds:itemID="{04EA1213-7AF9-4F09-87C2-2FC845AE8B8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159e9d0-09a0-4edf-96ba-a3deea363c28}" enabled="0" method="" siteId="{0159e9d0-09a0-4edf-96ba-a3deea363c2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21</TotalTime>
  <Pages>5</Pages>
  <Words>2010</Words>
  <Characters>11462</Characters>
  <Application>Microsoft Office Word</Application>
  <DocSecurity>0</DocSecurity>
  <Lines>95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13446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Tereza Štosová</cp:lastModifiedBy>
  <cp:revision>4</cp:revision>
  <cp:lastPrinted>2021-12-10T16:10:00Z</cp:lastPrinted>
  <dcterms:created xsi:type="dcterms:W3CDTF">2023-12-08T13:53:00Z</dcterms:created>
  <dcterms:modified xsi:type="dcterms:W3CDTF">2023-12-12T15:23:00Z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79582bb07378187fef09e399b31e6724a7085e025b4626669094dd50a9e9af3f</vt:lpwstr>
  </property>
  <property fmtid="{D5CDD505-2E9C-101B-9397-08002B2CF9AE}" pid="3" name="ContentTypeId">
    <vt:lpwstr>0x010100D037425BC85BAC47A18BE758018E6255</vt:lpwstr>
  </property>
</Properties>
</file>