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776BCEDB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F13C8" w14:textId="0E632FA3" w:rsidR="00351FF5" w:rsidRDefault="00D74128" w:rsidP="00014683">
      <w:pPr>
        <w:pStyle w:val="Nadpis1"/>
        <w:rPr>
          <w:b w:val="0"/>
        </w:rPr>
      </w:pPr>
      <w:r w:rsidRPr="00D74128">
        <w:rPr>
          <w:b w:val="0"/>
        </w:rPr>
        <w:t xml:space="preserve">Komerční banka, MONETA Money Bank, Air Bank a UniCredit Bank </w:t>
      </w:r>
      <w:r w:rsidR="00CA1CD3">
        <w:rPr>
          <w:b w:val="0"/>
        </w:rPr>
        <w:t>umožní v rámci</w:t>
      </w:r>
      <w:r w:rsidRPr="00D74128">
        <w:rPr>
          <w:b w:val="0"/>
        </w:rPr>
        <w:t xml:space="preserve"> sdílení bankomatů</w:t>
      </w:r>
      <w:r w:rsidR="00CA1CD3">
        <w:rPr>
          <w:b w:val="0"/>
        </w:rPr>
        <w:t xml:space="preserve"> vklady hotovost</w:t>
      </w:r>
      <w:r w:rsidR="00404BB0">
        <w:rPr>
          <w:b w:val="0"/>
        </w:rPr>
        <w:t>i</w:t>
      </w:r>
    </w:p>
    <w:p w14:paraId="4E7A4693" w14:textId="77777777" w:rsidR="00351FF5" w:rsidRPr="00351FF5" w:rsidRDefault="00351FF5" w:rsidP="00351FF5">
      <w:pPr>
        <w:rPr>
          <w:szCs w:val="22"/>
        </w:rPr>
      </w:pPr>
    </w:p>
    <w:p w14:paraId="42D6A3AF" w14:textId="4048BB56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CA1CD3">
        <w:rPr>
          <w:rFonts w:ascii="Inter Semi Bold" w:hAnsi="Inter Semi Bold"/>
          <w:b/>
          <w:bCs/>
          <w:szCs w:val="22"/>
        </w:rPr>
        <w:t>29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CA1CD3">
        <w:rPr>
          <w:rFonts w:ascii="Inter Semi Bold" w:hAnsi="Inter Semi Bold"/>
          <w:b/>
          <w:bCs/>
          <w:szCs w:val="22"/>
        </w:rPr>
        <w:t>června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6FDBA685" w14:textId="6EEC7502" w:rsidR="00FD3B66" w:rsidRDefault="00D2642F" w:rsidP="00FD3B66">
      <w:pPr>
        <w:spacing w:before="240"/>
        <w:jc w:val="both"/>
        <w:rPr>
          <w:rStyle w:val="Siln"/>
          <w:rFonts w:eastAsia="Times New Roman"/>
          <w:szCs w:val="22"/>
        </w:rPr>
      </w:pPr>
      <w:r>
        <w:rPr>
          <w:rStyle w:val="Siln"/>
          <w:rFonts w:eastAsia="Times New Roman"/>
          <w:szCs w:val="22"/>
        </w:rPr>
        <w:t>Od za</w:t>
      </w:r>
      <w:r w:rsidR="00635CC9" w:rsidRPr="00525B9A">
        <w:rPr>
          <w:rStyle w:val="Siln"/>
          <w:rFonts w:eastAsia="Times New Roman"/>
          <w:szCs w:val="22"/>
        </w:rPr>
        <w:t>čátku roku 2024 budou</w:t>
      </w:r>
      <w:r>
        <w:rPr>
          <w:rStyle w:val="Siln"/>
          <w:rFonts w:eastAsia="Times New Roman"/>
          <w:szCs w:val="22"/>
        </w:rPr>
        <w:t xml:space="preserve"> </w:t>
      </w:r>
      <w:r w:rsidRPr="00734658">
        <w:rPr>
          <w:rStyle w:val="Siln"/>
          <w:rFonts w:eastAsia="Times New Roman"/>
          <w:szCs w:val="22"/>
        </w:rPr>
        <w:t>postupně</w:t>
      </w:r>
      <w:r>
        <w:rPr>
          <w:rStyle w:val="Siln"/>
          <w:rFonts w:eastAsia="Times New Roman"/>
          <w:szCs w:val="22"/>
        </w:rPr>
        <w:t xml:space="preserve"> </w:t>
      </w:r>
      <w:r w:rsidR="00635CC9" w:rsidRPr="00525B9A">
        <w:rPr>
          <w:rStyle w:val="Siln"/>
          <w:rFonts w:eastAsia="Times New Roman"/>
          <w:szCs w:val="22"/>
        </w:rPr>
        <w:t>klienti Komerční banky, MONETA Money Bank, Air Bank a UniCredit Bank</w:t>
      </w:r>
      <w:r w:rsidR="002C6E27">
        <w:rPr>
          <w:rStyle w:val="Siln"/>
          <w:rFonts w:eastAsia="Times New Roman"/>
          <w:szCs w:val="22"/>
        </w:rPr>
        <w:t xml:space="preserve"> moci</w:t>
      </w:r>
      <w:r w:rsidR="00635CC9" w:rsidRPr="00525B9A">
        <w:rPr>
          <w:rStyle w:val="Siln"/>
          <w:rFonts w:eastAsia="Times New Roman"/>
          <w:szCs w:val="22"/>
        </w:rPr>
        <w:t xml:space="preserve"> využívat vkladové bankomaty ve sdílené bankomatové síti za stejných podmínek, jako u bankomatů své vlastní banky. Jde o další krok </w:t>
      </w:r>
      <w:r w:rsidR="00734658">
        <w:rPr>
          <w:rStyle w:val="Siln"/>
          <w:rFonts w:eastAsia="Times New Roman"/>
          <w:szCs w:val="22"/>
        </w:rPr>
        <w:t>společné iniciativy</w:t>
      </w:r>
      <w:r w:rsidR="00635CC9" w:rsidRPr="00525B9A">
        <w:rPr>
          <w:rStyle w:val="Siln"/>
          <w:rFonts w:eastAsia="Times New Roman"/>
          <w:szCs w:val="22"/>
        </w:rPr>
        <w:t xml:space="preserve"> započaté </w:t>
      </w:r>
      <w:r w:rsidR="00D54E6F" w:rsidRPr="00525B9A">
        <w:rPr>
          <w:rStyle w:val="Siln"/>
          <w:rFonts w:eastAsia="Times New Roman"/>
          <w:szCs w:val="22"/>
        </w:rPr>
        <w:t xml:space="preserve">v únoru 2023, kdy uvedené banky umožnily </w:t>
      </w:r>
      <w:r w:rsidR="00DF319F">
        <w:rPr>
          <w:rStyle w:val="Siln"/>
          <w:rFonts w:eastAsia="Times New Roman"/>
          <w:szCs w:val="22"/>
        </w:rPr>
        <w:t xml:space="preserve">svým klientům </w:t>
      </w:r>
      <w:r w:rsidR="00635CC9" w:rsidRPr="00525B9A">
        <w:rPr>
          <w:rStyle w:val="Siln"/>
          <w:rFonts w:eastAsia="Times New Roman"/>
          <w:szCs w:val="22"/>
        </w:rPr>
        <w:t>vybírat hotovost ve sdíle</w:t>
      </w:r>
      <w:r w:rsidR="00DF319F">
        <w:rPr>
          <w:rStyle w:val="Siln"/>
          <w:rFonts w:eastAsia="Times New Roman"/>
          <w:szCs w:val="22"/>
        </w:rPr>
        <w:t>né</w:t>
      </w:r>
      <w:r w:rsidR="00635CC9" w:rsidRPr="00525B9A">
        <w:rPr>
          <w:rStyle w:val="Siln"/>
          <w:rFonts w:eastAsia="Times New Roman"/>
          <w:szCs w:val="22"/>
        </w:rPr>
        <w:t xml:space="preserve"> bankomatov</w:t>
      </w:r>
      <w:r w:rsidR="00DF319F">
        <w:rPr>
          <w:rStyle w:val="Siln"/>
          <w:rFonts w:eastAsia="Times New Roman"/>
          <w:szCs w:val="22"/>
        </w:rPr>
        <w:t xml:space="preserve">é </w:t>
      </w:r>
      <w:r w:rsidR="00635CC9" w:rsidRPr="00525B9A">
        <w:rPr>
          <w:rStyle w:val="Siln"/>
          <w:rFonts w:eastAsia="Times New Roman"/>
          <w:szCs w:val="22"/>
        </w:rPr>
        <w:t>sít</w:t>
      </w:r>
      <w:r w:rsidR="00DF319F">
        <w:rPr>
          <w:rStyle w:val="Siln"/>
          <w:rFonts w:eastAsia="Times New Roman"/>
          <w:szCs w:val="22"/>
        </w:rPr>
        <w:t>i</w:t>
      </w:r>
      <w:r w:rsidR="00D54E6F" w:rsidRPr="00525B9A">
        <w:rPr>
          <w:rStyle w:val="Siln"/>
          <w:rFonts w:eastAsia="Times New Roman"/>
          <w:szCs w:val="22"/>
        </w:rPr>
        <w:t>.</w:t>
      </w:r>
    </w:p>
    <w:p w14:paraId="02BBF390" w14:textId="49E26154" w:rsidR="004209EA" w:rsidRDefault="00D54F20" w:rsidP="00FD3B66">
      <w:pPr>
        <w:spacing w:before="240"/>
        <w:jc w:val="both"/>
        <w:rPr>
          <w:rStyle w:val="Siln"/>
          <w:rFonts w:eastAsia="Times New Roman"/>
          <w:b w:val="0"/>
          <w:bCs w:val="0"/>
          <w:szCs w:val="22"/>
        </w:rPr>
      </w:pPr>
      <w:r w:rsidRPr="006B628A">
        <w:rPr>
          <w:rStyle w:val="Siln"/>
          <w:rFonts w:eastAsia="Times New Roman"/>
          <w:b w:val="0"/>
          <w:bCs w:val="0"/>
          <w:szCs w:val="22"/>
        </w:rPr>
        <w:t xml:space="preserve">Obliba bankomatů s vkladovou funkcí </w:t>
      </w:r>
      <w:r w:rsidR="003A7AA9" w:rsidRPr="006B628A">
        <w:rPr>
          <w:rStyle w:val="Siln"/>
          <w:rFonts w:eastAsia="Times New Roman"/>
          <w:b w:val="0"/>
          <w:bCs w:val="0"/>
          <w:szCs w:val="22"/>
        </w:rPr>
        <w:t xml:space="preserve">mezi klienty </w:t>
      </w:r>
      <w:r w:rsidRPr="006B628A">
        <w:rPr>
          <w:rStyle w:val="Siln"/>
          <w:rFonts w:eastAsia="Times New Roman"/>
          <w:b w:val="0"/>
          <w:bCs w:val="0"/>
          <w:szCs w:val="22"/>
        </w:rPr>
        <w:t xml:space="preserve">dlouhodobě roste. Možnost vkládat v režimu 24/7 oceňují zejména podnikatelé. Statistiky ukazují, že v některých lokalitách objem vložené hotovosti </w:t>
      </w:r>
      <w:r w:rsidR="003A7AA9" w:rsidRPr="006B628A">
        <w:rPr>
          <w:rStyle w:val="Siln"/>
          <w:rFonts w:eastAsia="Times New Roman"/>
          <w:b w:val="0"/>
          <w:bCs w:val="0"/>
          <w:szCs w:val="22"/>
        </w:rPr>
        <w:t xml:space="preserve">dokonce </w:t>
      </w:r>
      <w:r w:rsidRPr="006B628A">
        <w:rPr>
          <w:rStyle w:val="Siln"/>
          <w:rFonts w:eastAsia="Times New Roman"/>
          <w:b w:val="0"/>
          <w:bCs w:val="0"/>
          <w:szCs w:val="22"/>
        </w:rPr>
        <w:t xml:space="preserve">přesahuje objem výběrů. </w:t>
      </w:r>
      <w:r w:rsidR="003A7AA9" w:rsidRPr="006B628A">
        <w:rPr>
          <w:rStyle w:val="Siln"/>
          <w:rFonts w:eastAsia="Times New Roman"/>
          <w:b w:val="0"/>
          <w:bCs w:val="0"/>
          <w:szCs w:val="22"/>
        </w:rPr>
        <w:t>Navíc b</w:t>
      </w:r>
      <w:r w:rsidRPr="006B628A">
        <w:rPr>
          <w:rStyle w:val="Siln"/>
          <w:rFonts w:eastAsia="Times New Roman"/>
          <w:b w:val="0"/>
          <w:bCs w:val="0"/>
          <w:szCs w:val="22"/>
        </w:rPr>
        <w:t xml:space="preserve">ankomaty, které </w:t>
      </w:r>
      <w:r w:rsidR="003A7AA9" w:rsidRPr="006B628A">
        <w:rPr>
          <w:rStyle w:val="Siln"/>
          <w:rFonts w:eastAsia="Times New Roman"/>
          <w:b w:val="0"/>
          <w:bCs w:val="0"/>
          <w:szCs w:val="22"/>
        </w:rPr>
        <w:t>u</w:t>
      </w:r>
      <w:r w:rsidRPr="006B628A">
        <w:rPr>
          <w:rStyle w:val="Siln"/>
          <w:rFonts w:eastAsia="Times New Roman"/>
          <w:b w:val="0"/>
          <w:bCs w:val="0"/>
          <w:szCs w:val="22"/>
        </w:rPr>
        <w:t>možňují recyklaci vkladů po</w:t>
      </w:r>
      <w:r w:rsidR="003A7AA9" w:rsidRPr="006B628A">
        <w:rPr>
          <w:rStyle w:val="Siln"/>
          <w:rFonts w:eastAsia="Times New Roman"/>
          <w:b w:val="0"/>
          <w:bCs w:val="0"/>
          <w:szCs w:val="22"/>
        </w:rPr>
        <w:t>dporují současně principy</w:t>
      </w:r>
      <w:r w:rsidRPr="006B628A">
        <w:rPr>
          <w:rStyle w:val="Siln"/>
          <w:rFonts w:eastAsia="Times New Roman"/>
          <w:b w:val="0"/>
          <w:bCs w:val="0"/>
          <w:szCs w:val="22"/>
        </w:rPr>
        <w:t xml:space="preserve"> udržitelnosti</w:t>
      </w:r>
      <w:r w:rsidR="00DF319F">
        <w:rPr>
          <w:rStyle w:val="Siln"/>
          <w:rFonts w:eastAsia="Times New Roman"/>
          <w:b w:val="0"/>
          <w:bCs w:val="0"/>
          <w:szCs w:val="22"/>
        </w:rPr>
        <w:t xml:space="preserve">. Vložené peníze totiž umožnují znovu použít pro potřeby výběrů a není je tedy tak často potřeba plnit novou hotovostí. </w:t>
      </w:r>
    </w:p>
    <w:p w14:paraId="13C5501F" w14:textId="04F79ACD" w:rsidR="004209EA" w:rsidRDefault="004209EA" w:rsidP="004209EA">
      <w:pPr>
        <w:pStyle w:val="Prosttext"/>
        <w:spacing w:line="276" w:lineRule="auto"/>
        <w:jc w:val="both"/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br/>
        <w:t>„</w:t>
      </w:r>
      <w:r w:rsidR="00DF319F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 xml:space="preserve">Iniciativa </w:t>
      </w:r>
      <w:r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 xml:space="preserve">sdílené bankomatové </w:t>
      </w:r>
      <w:r w:rsidR="00DF319F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sítě přináší našim klientům zásadní benefity</w:t>
      </w:r>
      <w:r w:rsidR="00734658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,</w:t>
      </w:r>
      <w:r w:rsidR="00DF319F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 xml:space="preserve"> a navíc podporuje principy udržitelnosti.</w:t>
      </w:r>
      <w:r w:rsidR="00B0193F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 xml:space="preserve"> Jsem proto velmi rád, že jsme dnes společně s MONETA Money Bank, Air Bank a UniCredit Bank pokročili v rámci tohoto projektu dále,“ </w:t>
      </w:r>
      <w:r w:rsidR="00B0193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říká předseda představenstva a generální ředitel Komerční banky Jan Juchelka a dodává: „</w:t>
      </w:r>
      <w:r w:rsidR="00DF319F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Zapojení vkladových bankoma</w:t>
      </w:r>
      <w:r w:rsidR="00B0193F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tů do sdílené sítě bylo dalším logickým krokem</w:t>
      </w:r>
      <w:r w:rsidR="00DF319F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.</w:t>
      </w:r>
      <w:r w:rsidR="00B0193F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 xml:space="preserve"> Jsem přesvědčen, že to klienti ocení. Zároveň bych také chtěl </w:t>
      </w:r>
      <w:r w:rsidR="00AF53CA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 xml:space="preserve">připomenout, že </w:t>
      </w:r>
      <w:r w:rsidR="00B0193F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 xml:space="preserve">se nám už </w:t>
      </w:r>
      <w:r w:rsidR="00AF53CA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d</w:t>
      </w:r>
      <w:r w:rsidR="00CC2FC1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 xml:space="preserve">íky </w:t>
      </w:r>
      <w:r w:rsidR="00B0193F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sdílení bankomatové sítě</w:t>
      </w:r>
      <w:r w:rsidR="00CC2FC1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 xml:space="preserve"> p</w:t>
      </w:r>
      <w:r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 xml:space="preserve">odařilo přemístit </w:t>
      </w:r>
      <w:r w:rsidR="00B0193F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více než šedesát</w:t>
      </w:r>
      <w:r w:rsidR="00CC2FC1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 xml:space="preserve"> duplicitních </w:t>
      </w:r>
      <w:r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přístrojů</w:t>
      </w:r>
      <w:r w:rsidR="00CC2FC1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 xml:space="preserve"> do míst, kde doposud bankomat chyběl.“</w:t>
      </w:r>
    </w:p>
    <w:p w14:paraId="58BA6F61" w14:textId="77777777" w:rsidR="00CC2FC1" w:rsidRDefault="00CC2FC1" w:rsidP="004209EA">
      <w:pPr>
        <w:pStyle w:val="Prosttext"/>
        <w:spacing w:line="276" w:lineRule="auto"/>
        <w:jc w:val="both"/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</w:pPr>
    </w:p>
    <w:p w14:paraId="4AB789FC" w14:textId="3B4BA83A" w:rsidR="003A7AA9" w:rsidRPr="006D4032" w:rsidRDefault="0062792D" w:rsidP="003A7AA9">
      <w:pPr>
        <w:tabs>
          <w:tab w:val="left" w:pos="8647"/>
        </w:tabs>
        <w:jc w:val="both"/>
        <w:rPr>
          <w:szCs w:val="22"/>
        </w:rPr>
      </w:pPr>
      <w:r w:rsidRPr="006D4032">
        <w:rPr>
          <w:szCs w:val="22"/>
        </w:rPr>
        <w:t xml:space="preserve">Cílem iniciativy sdílení bankomatů je zvýšit dostupnost hotovostních služeb pro klienty a současně akcelerovat aktivity v zájmu udržitelného rozvoje. Součástí společné iniciativy je také přesun duplicitních bankomatů. Když na jednom místě stojí vedle sebe dva sdílené bankomaty (typicky např. v nákupních centrech), jeden z nich banky přesunou tam, kde předtím zcela chyběl. </w:t>
      </w:r>
      <w:r w:rsidR="003A7AA9" w:rsidRPr="006D4032">
        <w:rPr>
          <w:szCs w:val="22"/>
        </w:rPr>
        <w:t>K dnešnímu dni už takto banky společně přesunuly více jak 60 bankomatů.</w:t>
      </w:r>
    </w:p>
    <w:p w14:paraId="46DAB696" w14:textId="7E355472" w:rsidR="00D54F20" w:rsidRPr="006D4032" w:rsidRDefault="00D54F20" w:rsidP="0062792D">
      <w:pPr>
        <w:tabs>
          <w:tab w:val="left" w:pos="8647"/>
        </w:tabs>
        <w:jc w:val="both"/>
        <w:rPr>
          <w:szCs w:val="22"/>
        </w:rPr>
      </w:pPr>
    </w:p>
    <w:p w14:paraId="37DB04C9" w14:textId="77777777" w:rsidR="00505F45" w:rsidRPr="006D4032" w:rsidRDefault="00505F45" w:rsidP="00505F45">
      <w:pPr>
        <w:tabs>
          <w:tab w:val="left" w:pos="8647"/>
        </w:tabs>
        <w:jc w:val="both"/>
        <w:rPr>
          <w:bCs/>
          <w:szCs w:val="22"/>
        </w:rPr>
      </w:pPr>
      <w:r w:rsidRPr="006D4032">
        <w:rPr>
          <w:bCs/>
          <w:szCs w:val="22"/>
        </w:rPr>
        <w:t xml:space="preserve">Veškeré informace ke sdílení bankomatové sítě naleznete na </w:t>
      </w:r>
      <w:hyperlink r:id="rId9" w:history="1">
        <w:r w:rsidRPr="006D4032">
          <w:rPr>
            <w:rStyle w:val="Hypertextovodkaz"/>
            <w:bCs/>
            <w:color w:val="auto"/>
            <w:szCs w:val="22"/>
          </w:rPr>
          <w:t>www.sdilenybankomat.cz</w:t>
        </w:r>
      </w:hyperlink>
    </w:p>
    <w:p w14:paraId="0E646EA8" w14:textId="611EC217" w:rsidR="008E5786" w:rsidRDefault="008E5786" w:rsidP="00351FF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F72BE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1CEEAA5" w14:textId="77777777" w:rsidR="009371B1" w:rsidRDefault="009371B1" w:rsidP="009371B1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9371B1" w14:paraId="44FE3005" w14:textId="77777777" w:rsidTr="002F2FBE">
        <w:tc>
          <w:tcPr>
            <w:tcW w:w="3209" w:type="dxa"/>
          </w:tcPr>
          <w:p w14:paraId="5A0CAF1B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  <w:r>
              <w:rPr>
                <w:sz w:val="18"/>
                <w:szCs w:val="18"/>
              </w:rPr>
              <w:t xml:space="preserve"> </w:t>
            </w:r>
          </w:p>
          <w:p w14:paraId="33A67F9E" w14:textId="77777777" w:rsidR="009371B1" w:rsidRPr="00014683" w:rsidRDefault="00000000" w:rsidP="002F2FBE">
            <w:pPr>
              <w:rPr>
                <w:sz w:val="18"/>
                <w:szCs w:val="18"/>
              </w:rPr>
            </w:pPr>
            <w:hyperlink r:id="rId10" w:history="1">
              <w:r w:rsidR="009371B1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157A9DF4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09" w:type="dxa"/>
          </w:tcPr>
          <w:p w14:paraId="1C0A4D0B" w14:textId="77777777" w:rsidR="009371B1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523A69B3" w14:textId="77777777" w:rsidR="009371B1" w:rsidRPr="00014683" w:rsidRDefault="00000000" w:rsidP="002F2FBE">
            <w:pPr>
              <w:rPr>
                <w:sz w:val="18"/>
                <w:szCs w:val="18"/>
              </w:rPr>
            </w:pPr>
            <w:hyperlink r:id="rId11" w:history="1">
              <w:r w:rsidR="009371B1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25F5D58A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  <w:tc>
          <w:tcPr>
            <w:tcW w:w="3210" w:type="dxa"/>
          </w:tcPr>
          <w:p w14:paraId="630DDCFB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>š</w:t>
            </w:r>
            <w:r w:rsidRPr="00014683">
              <w:rPr>
                <w:sz w:val="18"/>
                <w:szCs w:val="18"/>
              </w:rPr>
              <w:t xml:space="preserve"> Zavoral</w:t>
            </w:r>
            <w:r w:rsidRPr="00014683">
              <w:rPr>
                <w:sz w:val="18"/>
                <w:szCs w:val="18"/>
              </w:rPr>
              <w:br/>
            </w:r>
            <w:hyperlink r:id="rId12" w:history="1">
              <w:r w:rsidRPr="001D238E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5E37ED3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  <w:p w14:paraId="23851EE0" w14:textId="77777777" w:rsidR="009371B1" w:rsidRPr="00014683" w:rsidRDefault="009371B1" w:rsidP="002F2FBE">
            <w:pPr>
              <w:rPr>
                <w:sz w:val="18"/>
                <w:szCs w:val="18"/>
              </w:rPr>
            </w:pPr>
          </w:p>
        </w:tc>
      </w:tr>
    </w:tbl>
    <w:p w14:paraId="1A1397D5" w14:textId="5C01F83F" w:rsidR="008E5786" w:rsidRPr="00351FF5" w:rsidRDefault="008E5786" w:rsidP="00351FF5">
      <w:pPr>
        <w:rPr>
          <w:szCs w:val="22"/>
        </w:rPr>
      </w:pPr>
    </w:p>
    <w:sectPr w:rsidR="008E5786" w:rsidRPr="00351FF5" w:rsidSect="008E5786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A713" w14:textId="77777777" w:rsidR="00E442CF" w:rsidRDefault="00E442CF" w:rsidP="00014683">
      <w:pPr>
        <w:spacing w:line="240" w:lineRule="auto"/>
      </w:pPr>
      <w:r>
        <w:separator/>
      </w:r>
    </w:p>
  </w:endnote>
  <w:endnote w:type="continuationSeparator" w:id="0">
    <w:p w14:paraId="71BFA904" w14:textId="77777777" w:rsidR="00E442CF" w:rsidRDefault="00E442CF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1B9EEDE">
                <wp:extent cx="520700" cy="520700"/>
                <wp:effectExtent l="0" t="0" r="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42D17B0A">
                <wp:extent cx="762000" cy="520700"/>
                <wp:effectExtent l="0" t="0" r="0" b="0"/>
                <wp:docPr id="9" name="Picture 9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graphical user interfac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382063B9">
                <wp:extent cx="215900" cy="215900"/>
                <wp:effectExtent l="0" t="0" r="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46D4E8B9">
                <wp:extent cx="215265" cy="215265"/>
                <wp:effectExtent l="0" t="0" r="0" b="635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208A" w14:textId="77777777" w:rsidR="00E442CF" w:rsidRDefault="00E442CF" w:rsidP="00014683">
      <w:pPr>
        <w:spacing w:line="240" w:lineRule="auto"/>
      </w:pPr>
      <w:r>
        <w:separator/>
      </w:r>
    </w:p>
  </w:footnote>
  <w:footnote w:type="continuationSeparator" w:id="0">
    <w:p w14:paraId="507C671B" w14:textId="77777777" w:rsidR="00E442CF" w:rsidRDefault="00E442CF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0806"/>
    <w:multiLevelType w:val="hybridMultilevel"/>
    <w:tmpl w:val="151E8B7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25C8E"/>
    <w:multiLevelType w:val="hybridMultilevel"/>
    <w:tmpl w:val="AB00AE3C"/>
    <w:lvl w:ilvl="0" w:tplc="1F5E99B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F037C"/>
    <w:multiLevelType w:val="multilevel"/>
    <w:tmpl w:val="CEE8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099044">
    <w:abstractNumId w:val="2"/>
  </w:num>
  <w:num w:numId="2" w16cid:durableId="700741758">
    <w:abstractNumId w:val="1"/>
  </w:num>
  <w:num w:numId="3" w16cid:durableId="514224598">
    <w:abstractNumId w:val="3"/>
  </w:num>
  <w:num w:numId="4" w16cid:durableId="1400403455">
    <w:abstractNumId w:val="4"/>
  </w:num>
  <w:num w:numId="5" w16cid:durableId="839661091">
    <w:abstractNumId w:val="5"/>
  </w:num>
  <w:num w:numId="6" w16cid:durableId="184439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196"/>
    <w:rsid w:val="0001295E"/>
    <w:rsid w:val="00014683"/>
    <w:rsid w:val="00015774"/>
    <w:rsid w:val="00024069"/>
    <w:rsid w:val="000542D7"/>
    <w:rsid w:val="00091EA8"/>
    <w:rsid w:val="000E6239"/>
    <w:rsid w:val="00166D04"/>
    <w:rsid w:val="001B3C9F"/>
    <w:rsid w:val="001B5CBF"/>
    <w:rsid w:val="001C5B9A"/>
    <w:rsid w:val="001D61B5"/>
    <w:rsid w:val="001D7BF5"/>
    <w:rsid w:val="002132E9"/>
    <w:rsid w:val="0023797F"/>
    <w:rsid w:val="0024724A"/>
    <w:rsid w:val="002B4EA0"/>
    <w:rsid w:val="002C6E27"/>
    <w:rsid w:val="002C6FE6"/>
    <w:rsid w:val="003109A1"/>
    <w:rsid w:val="00351FF5"/>
    <w:rsid w:val="00365BAD"/>
    <w:rsid w:val="003A7AA9"/>
    <w:rsid w:val="003C22DF"/>
    <w:rsid w:val="003F0C8C"/>
    <w:rsid w:val="00402E54"/>
    <w:rsid w:val="00404BB0"/>
    <w:rsid w:val="00407642"/>
    <w:rsid w:val="004209EA"/>
    <w:rsid w:val="00472751"/>
    <w:rsid w:val="00495DF2"/>
    <w:rsid w:val="00502BF5"/>
    <w:rsid w:val="00505F45"/>
    <w:rsid w:val="0051554D"/>
    <w:rsid w:val="00515FDE"/>
    <w:rsid w:val="00525B9A"/>
    <w:rsid w:val="00544872"/>
    <w:rsid w:val="00557C4C"/>
    <w:rsid w:val="005806F1"/>
    <w:rsid w:val="005A64BD"/>
    <w:rsid w:val="005E176C"/>
    <w:rsid w:val="00612946"/>
    <w:rsid w:val="0062792D"/>
    <w:rsid w:val="00635CC9"/>
    <w:rsid w:val="00652624"/>
    <w:rsid w:val="006540FD"/>
    <w:rsid w:val="00684D56"/>
    <w:rsid w:val="006A3CAF"/>
    <w:rsid w:val="006B628A"/>
    <w:rsid w:val="006D4032"/>
    <w:rsid w:val="00734658"/>
    <w:rsid w:val="00807FDC"/>
    <w:rsid w:val="00822C30"/>
    <w:rsid w:val="00885357"/>
    <w:rsid w:val="008E2FD9"/>
    <w:rsid w:val="008E49F7"/>
    <w:rsid w:val="008E5786"/>
    <w:rsid w:val="00916B99"/>
    <w:rsid w:val="00922ADA"/>
    <w:rsid w:val="00933504"/>
    <w:rsid w:val="009371B1"/>
    <w:rsid w:val="00944DCC"/>
    <w:rsid w:val="00945BEC"/>
    <w:rsid w:val="00962CF3"/>
    <w:rsid w:val="00A17351"/>
    <w:rsid w:val="00A33C90"/>
    <w:rsid w:val="00A42075"/>
    <w:rsid w:val="00A5007D"/>
    <w:rsid w:val="00A86894"/>
    <w:rsid w:val="00AE7B35"/>
    <w:rsid w:val="00AF1209"/>
    <w:rsid w:val="00AF53CA"/>
    <w:rsid w:val="00B0193F"/>
    <w:rsid w:val="00B0339B"/>
    <w:rsid w:val="00B24BD4"/>
    <w:rsid w:val="00B74A09"/>
    <w:rsid w:val="00BC34A3"/>
    <w:rsid w:val="00BE12E0"/>
    <w:rsid w:val="00C35A8B"/>
    <w:rsid w:val="00C57BCC"/>
    <w:rsid w:val="00C837F9"/>
    <w:rsid w:val="00CA1CD3"/>
    <w:rsid w:val="00CC13E7"/>
    <w:rsid w:val="00CC2FC1"/>
    <w:rsid w:val="00D040B2"/>
    <w:rsid w:val="00D2642F"/>
    <w:rsid w:val="00D54E6F"/>
    <w:rsid w:val="00D54F20"/>
    <w:rsid w:val="00D74128"/>
    <w:rsid w:val="00D87233"/>
    <w:rsid w:val="00DB1949"/>
    <w:rsid w:val="00DB4B06"/>
    <w:rsid w:val="00DC307C"/>
    <w:rsid w:val="00DF319F"/>
    <w:rsid w:val="00DF378B"/>
    <w:rsid w:val="00DF6278"/>
    <w:rsid w:val="00E04801"/>
    <w:rsid w:val="00E10F41"/>
    <w:rsid w:val="00E442CF"/>
    <w:rsid w:val="00E50509"/>
    <w:rsid w:val="00E51958"/>
    <w:rsid w:val="00E66168"/>
    <w:rsid w:val="00ED5E0E"/>
    <w:rsid w:val="00EE2885"/>
    <w:rsid w:val="00F16C2C"/>
    <w:rsid w:val="00F40D83"/>
    <w:rsid w:val="00F42CC5"/>
    <w:rsid w:val="00FC2EA9"/>
    <w:rsid w:val="00F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1C5B9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C5B9A"/>
    <w:pPr>
      <w:ind w:left="720"/>
      <w:contextualSpacing/>
    </w:pPr>
  </w:style>
  <w:style w:type="character" w:customStyle="1" w:styleId="ui-provider">
    <w:name w:val="ui-provider"/>
    <w:basedOn w:val="Standardnpsmoodstavce"/>
    <w:rsid w:val="00FD3B66"/>
  </w:style>
  <w:style w:type="table" w:customStyle="1" w:styleId="Tabulkasmkou4zvraznn31">
    <w:name w:val="Tabulka s mřížkou 4 – zvýraznění 31"/>
    <w:basedOn w:val="Normlntabulka"/>
    <w:uiPriority w:val="49"/>
    <w:rsid w:val="00D87233"/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4209EA"/>
    <w:pPr>
      <w:spacing w:line="240" w:lineRule="auto"/>
    </w:pPr>
    <w:rPr>
      <w:rFonts w:ascii="Calibri" w:eastAsia="Calibri" w:hAnsi="Calibri" w:cs="Calibri"/>
      <w:kern w:val="0"/>
      <w:szCs w:val="22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4209EA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as_zavoral@kb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_teubner@kb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rka_nevoralova@k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dilenybankomat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Jakub Knapp</cp:lastModifiedBy>
  <cp:revision>3</cp:revision>
  <dcterms:created xsi:type="dcterms:W3CDTF">2023-06-27T12:51:00Z</dcterms:created>
  <dcterms:modified xsi:type="dcterms:W3CDTF">2023-07-03T07:26:00Z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2023-06-27T12:51:56Z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