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614A" w14:textId="11B8458C" w:rsidR="00E66388" w:rsidRDefault="00916408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>Analýza</w:t>
      </w:r>
      <w:r w:rsidR="009B7572">
        <w:rPr>
          <w:rFonts w:ascii="Invesco Interstate Bold" w:hAnsi="Invesco Interstate Bold"/>
          <w:b/>
          <w:bCs/>
          <w:sz w:val="28"/>
          <w:szCs w:val="28"/>
        </w:rPr>
        <w:t xml:space="preserve"> společnosti</w:t>
      </w:r>
      <w:r>
        <w:rPr>
          <w:rFonts w:ascii="Invesco Interstate Bold" w:hAnsi="Invesco Interstate Bold"/>
          <w:b/>
          <w:bCs/>
          <w:sz w:val="28"/>
          <w:szCs w:val="28"/>
        </w:rPr>
        <w:t xml:space="preserve"> </w:t>
      </w:r>
      <w:proofErr w:type="spellStart"/>
      <w:r w:rsidR="001F7844">
        <w:rPr>
          <w:rFonts w:ascii="Invesco Interstate Bold" w:hAnsi="Invesco Interstate Bold"/>
          <w:b/>
          <w:bCs/>
          <w:sz w:val="28"/>
          <w:szCs w:val="28"/>
        </w:rPr>
        <w:t>Invesc</w:t>
      </w:r>
      <w:r w:rsidR="009B7572">
        <w:rPr>
          <w:rFonts w:ascii="Invesco Interstate Bold" w:hAnsi="Invesco Interstate Bold"/>
          <w:b/>
          <w:bCs/>
          <w:sz w:val="28"/>
          <w:szCs w:val="28"/>
        </w:rPr>
        <w:t>o</w:t>
      </w:r>
      <w:proofErr w:type="spellEnd"/>
      <w:r w:rsidR="001F7844"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r w:rsidR="009B7572">
        <w:rPr>
          <w:rFonts w:ascii="Invesco Interstate Bold" w:hAnsi="Invesco Interstate Bold"/>
          <w:b/>
          <w:bCs/>
          <w:sz w:val="28"/>
          <w:szCs w:val="28"/>
        </w:rPr>
        <w:t>Jak si vede zlato?</w:t>
      </w:r>
    </w:p>
    <w:p w14:paraId="022216AC" w14:textId="55FEF4AE" w:rsidR="00170959" w:rsidRDefault="009B7572" w:rsidP="00916408">
      <w:pPr>
        <w:spacing w:before="100" w:beforeAutospacing="1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První čtvrtletí roku 2023 navázalo na slušnou výkonnost z posledních tří měsíců roku 2022, avšak trhy toto období opět uzavřely s názorem, že očekávání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Fedu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jsou příliš agresivní; Fed bude muset ze svého odhadu ke konci roku slevit.</w:t>
      </w:r>
    </w:p>
    <w:p w14:paraId="1D2CD44A" w14:textId="694B346B" w:rsidR="00916408" w:rsidRPr="00916408" w:rsidRDefault="009B7572" w:rsidP="00916408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9B7572">
        <w:rPr>
          <w:rFonts w:ascii="Invesco Interstate Light" w:eastAsiaTheme="minorEastAsia" w:hAnsi="Invesco Interstate Light"/>
          <w:sz w:val="22"/>
          <w:szCs w:val="22"/>
        </w:rPr>
        <w:t xml:space="preserve">V dubnu 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cena zlata vzrostla o 1,1 %, s maximem nad 2 040 dolary a uzavřela devět seancí na 2 000 dolarů, než zakončila měsíc pod psychologickou bariérou 1 990 dolarů. Hlavním faktorem toho byly spekulace o ukončení současného cyklu zvyšování úrokových sazeb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v důsledku nejistého ekonomického výhledu.</w:t>
      </w:r>
    </w:p>
    <w:p w14:paraId="19A0FDC9" w14:textId="2B4CA3BA" w:rsidR="009B7572" w:rsidRPr="004E3E12" w:rsidRDefault="009B7572" w:rsidP="009B7572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Graf 1: Cena zlata v průběhu měsíce</w:t>
      </w:r>
    </w:p>
    <w:p w14:paraId="42818D21" w14:textId="77777777" w:rsidR="009B7572" w:rsidRDefault="009B7572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4F0EEAB8" wp14:editId="0A4F7521">
            <wp:extent cx="5760720" cy="3811905"/>
            <wp:effectExtent l="0" t="0" r="0" b="0"/>
            <wp:docPr id="512240056" name="Obrázek 1" descr="Obsah obrázku text, řada/pruh, Vykreslený graf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40056" name="Obrázek 1" descr="Obsah obrázku text, řada/pruh, Vykreslený graf, Písmo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6DCA" w14:textId="77777777" w:rsidR="009B7572" w:rsidRPr="009B7572" w:rsidRDefault="009B7572" w:rsidP="009B7572">
      <w:pPr>
        <w:spacing w:before="100" w:beforeAutospacing="1" w:after="100" w:afterAutospacing="1" w:line="240" w:lineRule="auto"/>
        <w:jc w:val="right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proofErr w:type="spellStart"/>
      <w:r w:rsidRPr="009B7572">
        <w:rPr>
          <w:rFonts w:ascii="Invesco Interstate Light" w:eastAsiaTheme="minorEastAsia" w:hAnsi="Invesco Interstate Light"/>
          <w:i/>
          <w:iCs/>
          <w:sz w:val="22"/>
          <w:szCs w:val="22"/>
        </w:rPr>
        <w:t>Bloomberg</w:t>
      </w:r>
      <w:proofErr w:type="spellEnd"/>
      <w:r w:rsidRPr="009B7572">
        <w:rPr>
          <w:rFonts w:ascii="Invesco Interstate Light" w:eastAsiaTheme="minorEastAsia" w:hAnsi="Invesco Interstate Light"/>
          <w:i/>
          <w:iCs/>
          <w:sz w:val="22"/>
          <w:szCs w:val="22"/>
        </w:rPr>
        <w:t>, do 30. dubna 2023. Minulá výkonnost nepředpovídá budoucí výnosy.</w:t>
      </w:r>
    </w:p>
    <w:p w14:paraId="4CAC9CA0" w14:textId="242D12FE" w:rsidR="00DD76C7" w:rsidRPr="00791126" w:rsidRDefault="008D7017" w:rsidP="00791126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Zlata v půlce dubna rostlo až na 2 049 dolarů, poté se propadlo a měsíc zakončilo na 1 990 dolarech. Kov tak nedosáhl ani svého rekordního </w:t>
      </w:r>
      <w:r w:rsidR="00791126">
        <w:rPr>
          <w:rFonts w:ascii="Invesco Interstate Light" w:eastAsiaTheme="minorEastAsia" w:hAnsi="Invesco Interstate Light"/>
          <w:sz w:val="22"/>
          <w:szCs w:val="22"/>
        </w:rPr>
        <w:t xml:space="preserve">maxima (2 075 dolarů v srpnu 2020), </w:t>
      </w:r>
      <w:r w:rsidR="00791126" w:rsidRPr="00791126">
        <w:rPr>
          <w:rFonts w:ascii="Invesco Interstate Light" w:eastAsiaTheme="minorEastAsia" w:hAnsi="Invesco Interstate Light"/>
          <w:sz w:val="22"/>
          <w:szCs w:val="22"/>
        </w:rPr>
        <w:t xml:space="preserve">ani rekordní série pěti po sobě jdoucích uzavření nad 2 000 dolary (opět srpen 2020). Očekávání nižších výnosů a slabšího dolaru podpořilo růst ceny zlata před dalšími jestřábími komentáři členů FOMC. Guvernér </w:t>
      </w:r>
      <w:proofErr w:type="spellStart"/>
      <w:r w:rsidR="00791126" w:rsidRPr="00791126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="00791126" w:rsidRPr="00791126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="00791126" w:rsidRPr="00791126">
        <w:rPr>
          <w:rFonts w:ascii="Invesco Interstate Light" w:eastAsiaTheme="minorEastAsia" w:hAnsi="Invesco Interstate Light"/>
          <w:sz w:val="22"/>
          <w:szCs w:val="22"/>
        </w:rPr>
        <w:t>Waller</w:t>
      </w:r>
      <w:proofErr w:type="spellEnd"/>
      <w:r w:rsidR="00791126" w:rsidRPr="00791126">
        <w:rPr>
          <w:rFonts w:ascii="Invesco Interstate Light" w:eastAsiaTheme="minorEastAsia" w:hAnsi="Invesco Interstate Light"/>
          <w:sz w:val="22"/>
          <w:szCs w:val="22"/>
        </w:rPr>
        <w:t xml:space="preserve"> poznamenal: </w:t>
      </w:r>
      <w:r w:rsidR="00791126" w:rsidRPr="00791126">
        <w:rPr>
          <w:rFonts w:ascii="Invesco Interstate Light" w:eastAsiaTheme="minorEastAsia" w:hAnsi="Invesco Interstate Light"/>
          <w:i/>
          <w:iCs/>
          <w:sz w:val="22"/>
          <w:szCs w:val="22"/>
        </w:rPr>
        <w:t>"Inflace je vysoko nad cílem, takže je třeba dále zpřísnit měnovou politiku.“</w:t>
      </w:r>
      <w:r w:rsidR="00791126" w:rsidRPr="00791126">
        <w:rPr>
          <w:rFonts w:ascii="Invesco Interstate Light" w:eastAsiaTheme="minorEastAsia" w:hAnsi="Invesco Interstate Light"/>
          <w:sz w:val="22"/>
          <w:szCs w:val="22"/>
        </w:rPr>
        <w:t xml:space="preserve"> Přestože ve </w:t>
      </w:r>
      <w:proofErr w:type="spellStart"/>
      <w:r w:rsidR="00791126" w:rsidRPr="00791126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="00791126" w:rsidRPr="00791126">
        <w:rPr>
          <w:rFonts w:ascii="Invesco Interstate Light" w:eastAsiaTheme="minorEastAsia" w:hAnsi="Invesco Interstate Light"/>
          <w:sz w:val="22"/>
          <w:szCs w:val="22"/>
        </w:rPr>
        <w:t xml:space="preserve"> panuje rozkol, trhy zaznamenávají rostoucí pravděpodobnost dalšího zvýšení sazeb, a protože obavy ze systémového napětí v bankovním systému se vedle vybírání zisků vytratily, dynamika zlata se na</w:t>
      </w:r>
      <w:r w:rsidR="00791126" w:rsidRPr="00EA1904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791126" w:rsidRPr="00791126">
        <w:rPr>
          <w:rFonts w:ascii="Invesco Interstate Light" w:eastAsiaTheme="minorEastAsia" w:hAnsi="Invesco Interstate Light"/>
          <w:sz w:val="22"/>
          <w:szCs w:val="22"/>
        </w:rPr>
        <w:t>konci měsíce obrátila.</w:t>
      </w:r>
      <w:r w:rsidR="00791126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="00791126" w:rsidRPr="00791126">
        <w:rPr>
          <w:rFonts w:ascii="Invesco Interstate Light" w:eastAsiaTheme="minorEastAsia" w:hAnsi="Invesco Interstate Light"/>
          <w:sz w:val="22"/>
          <w:szCs w:val="22"/>
        </w:rPr>
        <w:t>Od počátku roku zlato vzrostlo o 8,6 %.</w:t>
      </w:r>
    </w:p>
    <w:p w14:paraId="21EEA847" w14:textId="018818BA" w:rsidR="00791126" w:rsidRPr="004E3E12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lastRenderedPageBreak/>
        <w:t xml:space="preserve">Graf </w:t>
      </w:r>
      <w:r>
        <w:rPr>
          <w:rFonts w:ascii="Invesco Interstate Light" w:hAnsi="Invesco Interstate Light"/>
          <w:b/>
          <w:bCs/>
          <w:sz w:val="22"/>
          <w:szCs w:val="22"/>
        </w:rPr>
        <w:t>2</w:t>
      </w:r>
      <w:r>
        <w:rPr>
          <w:rFonts w:ascii="Invesco Interstate Light" w:hAnsi="Invesco Interstate Light"/>
          <w:b/>
          <w:bCs/>
          <w:sz w:val="22"/>
          <w:szCs w:val="22"/>
        </w:rPr>
        <w:t xml:space="preserve">: Cena zlata </w:t>
      </w:r>
      <w:r>
        <w:rPr>
          <w:rFonts w:ascii="Invesco Interstate Light" w:hAnsi="Invesco Interstate Light"/>
          <w:b/>
          <w:bCs/>
          <w:sz w:val="22"/>
          <w:szCs w:val="22"/>
        </w:rPr>
        <w:t>a reálné výnosy dluhopisů</w:t>
      </w:r>
    </w:p>
    <w:p w14:paraId="70E36EAC" w14:textId="77777777" w:rsidR="00791126" w:rsidRDefault="00791126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399634B3" wp14:editId="527085D0">
            <wp:extent cx="5715000" cy="3324225"/>
            <wp:effectExtent l="0" t="0" r="0" b="0"/>
            <wp:docPr id="294075709" name="Obrázek 2" descr="Obsah obrázku řada/pruh, Vykreslený graf, diagram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75709" name="Obrázek 2" descr="Obsah obrázku řada/pruh, Vykreslený graf, diagram, text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745F" w14:textId="610CF3ED" w:rsidR="00791126" w:rsidRPr="00791126" w:rsidRDefault="00791126" w:rsidP="00791126">
      <w:pPr>
        <w:spacing w:before="100" w:beforeAutospacing="1" w:after="100" w:afterAutospacing="1" w:line="240" w:lineRule="auto"/>
        <w:jc w:val="right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791126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Zdroj: </w:t>
      </w:r>
      <w:proofErr w:type="spellStart"/>
      <w:r w:rsidRPr="00791126">
        <w:rPr>
          <w:rFonts w:ascii="Invesco Interstate Light" w:eastAsiaTheme="minorEastAsia" w:hAnsi="Invesco Interstate Light"/>
          <w:i/>
          <w:iCs/>
          <w:sz w:val="22"/>
          <w:szCs w:val="22"/>
        </w:rPr>
        <w:t>Bloomberg</w:t>
      </w:r>
      <w:proofErr w:type="spellEnd"/>
      <w:r w:rsidRPr="00791126">
        <w:rPr>
          <w:rFonts w:ascii="Invesco Interstate Light" w:eastAsiaTheme="minorEastAsia" w:hAnsi="Invesco Interstate Light"/>
          <w:i/>
          <w:iCs/>
          <w:sz w:val="22"/>
          <w:szCs w:val="22"/>
        </w:rPr>
        <w:t>, do 30. dubna 2023. Minulá výkonnost nepředpovídá budoucí výnosy.</w:t>
      </w:r>
    </w:p>
    <w:p w14:paraId="5A17D4F5" w14:textId="77777777" w:rsidR="00791126" w:rsidRPr="00791126" w:rsidRDefault="00791126" w:rsidP="00791126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Reálné výnosy skončily v dubnu na úrovni 1,26 % a vzrostly z 1,15 % na začátku měsíce. Ekonomické údaje ukázaly určité zmírnění aktivity na začátku měsíce, když se poněkud omezil růst inflace a tlaky na trhu práce. Béžová kniha </w:t>
      </w:r>
      <w:proofErr w:type="spellStart"/>
      <w:r w:rsidRPr="00791126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 se nesla v opatrném tónu, když konstatovala, že úvěrová aktivita se po počátečním útlumu v souvislosti s otřesy v Silicon </w:t>
      </w:r>
      <w:proofErr w:type="spellStart"/>
      <w:r w:rsidRPr="00791126">
        <w:rPr>
          <w:rFonts w:ascii="Invesco Interstate Light" w:eastAsiaTheme="minorEastAsia" w:hAnsi="Invesco Interstate Light"/>
          <w:sz w:val="22"/>
          <w:szCs w:val="22"/>
        </w:rPr>
        <w:t>Valley</w:t>
      </w:r>
      <w:proofErr w:type="spellEnd"/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 Bank stabilizovala, neboť investoři zjišťovali, zda ekonomika plně pocítila zpožděné účinky zpřísňování.</w:t>
      </w:r>
    </w:p>
    <w:p w14:paraId="3D8FAB8B" w14:textId="77777777" w:rsidR="00791126" w:rsidRPr="00791126" w:rsidRDefault="00791126" w:rsidP="00791126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Inflace měřená indexem spotřebitelských cen zpomalila ve větší míře, než se očekávalo, což vedlo k růstu reálných sazeb. Přestože inflace zpomaluje, existuje prostor pro obavy. Nejnovější index nákladů na zaměstnanost byl zveřejněn na konci měsíce a ukázal nárůst o 1,2 % v prvním čtvrtletí roku 2023, což je mírně nad odhady, ale opět to ukazuje na přetrvávání a rizika </w:t>
      </w:r>
      <w:proofErr w:type="spellStart"/>
      <w:r w:rsidRPr="00791126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, že cyklus zvyšování sazeb předčasně ukončí.  </w:t>
      </w:r>
    </w:p>
    <w:p w14:paraId="0CB36157" w14:textId="77777777" w:rsidR="00791126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C5EC422" w14:textId="77777777" w:rsidR="00791126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1B0E1E" w14:textId="77777777" w:rsidR="00791126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5A05AC7" w14:textId="77777777" w:rsidR="00791126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24479AF2" w14:textId="77777777" w:rsidR="00791126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239B352" w14:textId="77777777" w:rsidR="00791126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C47AC3D" w14:textId="77777777" w:rsidR="00791126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10C4F6F6" w14:textId="77777777" w:rsidR="00791126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6C8DB04" w14:textId="77777777" w:rsidR="00791126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4BF9754" w14:textId="77777777" w:rsidR="00791126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31A206AB" w14:textId="12871F11" w:rsidR="00791126" w:rsidRPr="004E3E12" w:rsidRDefault="00791126" w:rsidP="00791126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lastRenderedPageBreak/>
        <w:t xml:space="preserve">Graf </w:t>
      </w:r>
      <w:r>
        <w:rPr>
          <w:rFonts w:ascii="Invesco Interstate Light" w:hAnsi="Invesco Interstate Light"/>
          <w:b/>
          <w:bCs/>
          <w:sz w:val="22"/>
          <w:szCs w:val="22"/>
        </w:rPr>
        <w:t>3</w:t>
      </w:r>
      <w:r>
        <w:rPr>
          <w:rFonts w:ascii="Invesco Interstate Light" w:hAnsi="Invesco Interstate Light"/>
          <w:b/>
          <w:bCs/>
          <w:sz w:val="22"/>
          <w:szCs w:val="22"/>
        </w:rPr>
        <w:t xml:space="preserve">: </w:t>
      </w:r>
      <w:r>
        <w:rPr>
          <w:rFonts w:ascii="Invesco Interstate Light" w:hAnsi="Invesco Interstate Light"/>
          <w:b/>
          <w:bCs/>
          <w:sz w:val="22"/>
          <w:szCs w:val="22"/>
        </w:rPr>
        <w:t>Cena zlata a americký dolar</w:t>
      </w:r>
    </w:p>
    <w:p w14:paraId="66CAC060" w14:textId="77777777" w:rsidR="00E51451" w:rsidRDefault="00E51451" w:rsidP="00E51451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252EC1B" w14:textId="77777777" w:rsidR="00791126" w:rsidRDefault="00791126" w:rsidP="0079112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4D67B209" wp14:editId="1E25F444">
            <wp:extent cx="5760720" cy="3715385"/>
            <wp:effectExtent l="0" t="0" r="0" b="0"/>
            <wp:docPr id="70446340" name="Obrázek 3" descr="Obsah obrázku text, řada/pruh, Písmo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6340" name="Obrázek 3" descr="Obsah obrázku text, řada/pruh, Písmo, Vykreslený graf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126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</w:p>
    <w:p w14:paraId="7DE8B8D2" w14:textId="548F2388" w:rsidR="00791126" w:rsidRPr="00791126" w:rsidRDefault="00791126" w:rsidP="00791126">
      <w:pPr>
        <w:spacing w:before="100" w:beforeAutospacing="1" w:after="100" w:afterAutospacing="1" w:line="240" w:lineRule="auto"/>
        <w:jc w:val="right"/>
        <w:rPr>
          <w:rFonts w:ascii="Invesco Interstate Light" w:eastAsiaTheme="minorEastAsia" w:hAnsi="Invesco Interstate Light"/>
          <w:sz w:val="22"/>
          <w:szCs w:val="22"/>
        </w:rPr>
      </w:pPr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Zdroj: </w:t>
      </w:r>
      <w:proofErr w:type="spellStart"/>
      <w:r w:rsidRPr="00791126">
        <w:rPr>
          <w:rFonts w:ascii="Invesco Interstate Light" w:eastAsiaTheme="minorEastAsia" w:hAnsi="Invesco Interstate Light"/>
          <w:sz w:val="22"/>
          <w:szCs w:val="22"/>
        </w:rPr>
        <w:t>Bloomberg</w:t>
      </w:r>
      <w:proofErr w:type="spellEnd"/>
      <w:r w:rsidRPr="00791126">
        <w:rPr>
          <w:rFonts w:ascii="Invesco Interstate Light" w:eastAsiaTheme="minorEastAsia" w:hAnsi="Invesco Interstate Light"/>
          <w:sz w:val="22"/>
          <w:szCs w:val="22"/>
        </w:rPr>
        <w:t>, do 30. dubna 2023. Minulá výkonnost nepředpovídá budoucí výnosy.</w:t>
      </w:r>
    </w:p>
    <w:p w14:paraId="1E8621A9" w14:textId="77777777" w:rsidR="00791126" w:rsidRDefault="00791126" w:rsidP="0079112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Americký dolar měřený indexem DXY meziměsíčně klesl o 1,0 %, když kopíroval růst ceny zlata, protože investoři se snažili určit další vývoj podle </w:t>
      </w:r>
      <w:proofErr w:type="spellStart"/>
      <w:r w:rsidRPr="00791126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 a hodnotili relativní jestřábí postoj centrálních bank. Prudký nárůst ceny dolaru mohl poskytnout příležitosti k vybírání zisků, protože obavy se soustřeďují na zpomalující americkou ekonomiku, ale také na rostoucí spekulace kolem toho, kdy Spojené státy narazí na svůj dluhový strop, což se odrazilo v ceně blízko konce křivky.</w:t>
      </w:r>
    </w:p>
    <w:p w14:paraId="17CB9099" w14:textId="77777777" w:rsidR="00791126" w:rsidRPr="00791126" w:rsidRDefault="00791126" w:rsidP="0079112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AC609F1" w14:textId="77777777" w:rsidR="00791126" w:rsidRPr="00791126" w:rsidRDefault="00791126" w:rsidP="0079112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Euro představuje 58 % indexu DXY a meziměsíčně došlo jen k malé změně v relativním vývoji sazeb mezi </w:t>
      </w:r>
      <w:proofErr w:type="spellStart"/>
      <w:r w:rsidRPr="00791126">
        <w:rPr>
          <w:rFonts w:ascii="Invesco Interstate Light" w:eastAsiaTheme="minorEastAsia" w:hAnsi="Invesco Interstate Light"/>
          <w:sz w:val="22"/>
          <w:szCs w:val="22"/>
        </w:rPr>
        <w:t>Fedem</w:t>
      </w:r>
      <w:proofErr w:type="spellEnd"/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 a ECB. S nástupem nového guvernéra v Bank </w:t>
      </w:r>
      <w:proofErr w:type="spellStart"/>
      <w:r w:rsidRPr="00791126">
        <w:rPr>
          <w:rFonts w:ascii="Invesco Interstate Light" w:eastAsiaTheme="minorEastAsia" w:hAnsi="Invesco Interstate Light"/>
          <w:sz w:val="22"/>
          <w:szCs w:val="22"/>
        </w:rPr>
        <w:t>of</w:t>
      </w:r>
      <w:proofErr w:type="spellEnd"/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 Japan se trhy staly optimističtějšími, že v Japonsku dojde ke zpřísnění sazeb ještě před koncem roku, a do konce dubna se očekávalo také zvýšení sazeb na konci roku ve Velké Británii. Jeny a libry tvoří 14 %, resp. 12 % koše amerických dolarů.</w:t>
      </w:r>
    </w:p>
    <w:p w14:paraId="3A7834B6" w14:textId="77777777" w:rsidR="00791126" w:rsidRPr="00791126" w:rsidRDefault="00791126" w:rsidP="0079112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562F388E" w14:textId="77777777" w:rsidR="00791126" w:rsidRPr="00791126" w:rsidRDefault="00791126" w:rsidP="0079112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Zlato v průběhu prvního čtvrtletí výrazně překonalo všechny hlavní měny, protože tradičně vnímané bezpečné přístavy švýcarský frank a japonský jen překonaly, respektive zaostaly za americkým dolarem. To signalizuje, že investoři překonali obavy v širším finančním systému. Libra a euro získaly díky relativnímu zlepšení svých úrokových diferenciálů ve srovnání s USD. </w:t>
      </w:r>
    </w:p>
    <w:p w14:paraId="6C997F58" w14:textId="77777777" w:rsidR="00791126" w:rsidRPr="00791126" w:rsidRDefault="00791126" w:rsidP="0079112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6866BE4" w14:textId="77777777" w:rsidR="00E51451" w:rsidRDefault="00E51451" w:rsidP="00E51451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570DCE0F" w14:textId="77777777" w:rsidR="00791126" w:rsidRPr="00791126" w:rsidRDefault="00791126" w:rsidP="00791126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791126">
        <w:rPr>
          <w:rFonts w:ascii="Invesco Interstate Light" w:eastAsiaTheme="minorEastAsia" w:hAnsi="Invesco Interstate Light"/>
          <w:sz w:val="22"/>
          <w:szCs w:val="22"/>
        </w:rPr>
        <w:lastRenderedPageBreak/>
        <w:t xml:space="preserve">Do svých portfolií mohou čeští investoři nakupovat například fondy </w:t>
      </w:r>
      <w:proofErr w:type="spellStart"/>
      <w:r w:rsidRPr="00791126">
        <w:rPr>
          <w:rFonts w:ascii="Invesco Interstate Light" w:eastAsiaTheme="minorEastAsia" w:hAnsi="Invesco Interstate Light"/>
          <w:sz w:val="22"/>
          <w:szCs w:val="22"/>
        </w:rPr>
        <w:t>Invesca</w:t>
      </w:r>
      <w:proofErr w:type="spellEnd"/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791126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791126">
        <w:rPr>
          <w:rFonts w:ascii="Invesco Interstate Light" w:eastAsiaTheme="minorEastAsia" w:hAnsi="Invesco Interstate Light"/>
          <w:sz w:val="22"/>
          <w:szCs w:val="22"/>
        </w:rPr>
        <w:t>Physical</w:t>
      </w:r>
      <w:proofErr w:type="spellEnd"/>
      <w:r w:rsidRPr="00791126">
        <w:rPr>
          <w:rFonts w:ascii="Invesco Interstate Light" w:eastAsiaTheme="minorEastAsia" w:hAnsi="Invesco Interstate Light"/>
          <w:sz w:val="22"/>
          <w:szCs w:val="22"/>
        </w:rPr>
        <w:t xml:space="preserve"> Gold ETC, jejichž cílem je zajistit výkonnost spotové ceny zlata prostřednictvím certifikátů zajištěných zlatými slitky. Základní měnou je americký dolar.</w:t>
      </w:r>
    </w:p>
    <w:p w14:paraId="3E8F95E1" w14:textId="77777777" w:rsidR="00E51451" w:rsidRDefault="00E51451" w:rsidP="00E51451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56D0E8C" w14:textId="77777777" w:rsidR="00D82F78" w:rsidRDefault="00D82F7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ACEA8F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0FAA187D" w14:textId="6E46476F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4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D735BC">
      <w:headerReference w:type="default" r:id="rId15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EFA3" w14:textId="77777777" w:rsidR="00F81C12" w:rsidRDefault="00F81C12">
      <w:r>
        <w:separator/>
      </w:r>
    </w:p>
  </w:endnote>
  <w:endnote w:type="continuationSeparator" w:id="0">
    <w:p w14:paraId="4619D1C8" w14:textId="77777777" w:rsidR="00F81C12" w:rsidRDefault="00F81C12">
      <w:r>
        <w:continuationSeparator/>
      </w:r>
    </w:p>
  </w:endnote>
  <w:endnote w:type="continuationNotice" w:id="1">
    <w:p w14:paraId="5D9A3ABD" w14:textId="77777777" w:rsidR="00F81C12" w:rsidRDefault="00F81C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2A8F" w14:textId="77777777" w:rsidR="00F81C12" w:rsidRDefault="00F81C12">
      <w:r>
        <w:separator/>
      </w:r>
    </w:p>
  </w:footnote>
  <w:footnote w:type="continuationSeparator" w:id="0">
    <w:p w14:paraId="7C233B4B" w14:textId="77777777" w:rsidR="00F81C12" w:rsidRDefault="00F81C12">
      <w:r>
        <w:continuationSeparator/>
      </w:r>
    </w:p>
  </w:footnote>
  <w:footnote w:type="continuationNotice" w:id="1">
    <w:p w14:paraId="086C8965" w14:textId="77777777" w:rsidR="00F81C12" w:rsidRDefault="00F81C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373C15AB" w:rsidR="00702C33" w:rsidRPr="000730A6" w:rsidRDefault="009B7572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30</w:t>
    </w:r>
    <w:r w:rsidR="0083625E">
      <w:rPr>
        <w:color w:val="000000"/>
        <w:sz w:val="28"/>
        <w:szCs w:val="28"/>
      </w:rPr>
      <w:t>.05.2023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D70"/>
    <w:multiLevelType w:val="multilevel"/>
    <w:tmpl w:val="11820CCE"/>
    <w:numStyleLink w:val="FormatvorlageAufgezhlt"/>
  </w:abstractNum>
  <w:abstractNum w:abstractNumId="8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30B23"/>
    <w:multiLevelType w:val="multilevel"/>
    <w:tmpl w:val="11820CCE"/>
    <w:numStyleLink w:val="FormatvorlageAufgezhlt"/>
  </w:abstractNum>
  <w:abstractNum w:abstractNumId="12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403C3"/>
    <w:multiLevelType w:val="multilevel"/>
    <w:tmpl w:val="11820CCE"/>
    <w:numStyleLink w:val="FormatvorlageAufgezhlt"/>
  </w:abstractNum>
  <w:abstractNum w:abstractNumId="17" w15:restartNumberingAfterBreak="0">
    <w:nsid w:val="6C6C4721"/>
    <w:multiLevelType w:val="multilevel"/>
    <w:tmpl w:val="11820CCE"/>
    <w:numStyleLink w:val="FormatvorlageAufgezhlt"/>
  </w:abstractNum>
  <w:abstractNum w:abstractNumId="18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5380B"/>
    <w:multiLevelType w:val="multilevel"/>
    <w:tmpl w:val="11820CCE"/>
    <w:numStyleLink w:val="FormatvorlageAufgezhlt"/>
  </w:abstractNum>
  <w:abstractNum w:abstractNumId="20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8"/>
  </w:num>
  <w:num w:numId="3" w16cid:durableId="1282105589">
    <w:abstractNumId w:val="14"/>
  </w:num>
  <w:num w:numId="4" w16cid:durableId="1617441895">
    <w:abstractNumId w:val="9"/>
  </w:num>
  <w:num w:numId="5" w16cid:durableId="1267425896">
    <w:abstractNumId w:val="11"/>
  </w:num>
  <w:num w:numId="6" w16cid:durableId="1792238606">
    <w:abstractNumId w:val="16"/>
  </w:num>
  <w:num w:numId="7" w16cid:durableId="190919629">
    <w:abstractNumId w:val="17"/>
  </w:num>
  <w:num w:numId="8" w16cid:durableId="2083285618">
    <w:abstractNumId w:val="1"/>
  </w:num>
  <w:num w:numId="9" w16cid:durableId="1653213567">
    <w:abstractNumId w:val="19"/>
  </w:num>
  <w:num w:numId="10" w16cid:durableId="849561851">
    <w:abstractNumId w:val="7"/>
  </w:num>
  <w:num w:numId="11" w16cid:durableId="1899129255">
    <w:abstractNumId w:val="3"/>
  </w:num>
  <w:num w:numId="12" w16cid:durableId="1348407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23"/>
  </w:num>
  <w:num w:numId="14" w16cid:durableId="2009676695">
    <w:abstractNumId w:val="24"/>
  </w:num>
  <w:num w:numId="15" w16cid:durableId="1629623239">
    <w:abstractNumId w:val="13"/>
  </w:num>
  <w:num w:numId="16" w16cid:durableId="1975720235">
    <w:abstractNumId w:val="4"/>
  </w:num>
  <w:num w:numId="17" w16cid:durableId="103501300">
    <w:abstractNumId w:val="2"/>
  </w:num>
  <w:num w:numId="18" w16cid:durableId="1434014312">
    <w:abstractNumId w:val="15"/>
  </w:num>
  <w:num w:numId="19" w16cid:durableId="832065860">
    <w:abstractNumId w:val="18"/>
  </w:num>
  <w:num w:numId="20" w16cid:durableId="667943464">
    <w:abstractNumId w:val="21"/>
  </w:num>
  <w:num w:numId="21" w16cid:durableId="225343112">
    <w:abstractNumId w:val="20"/>
  </w:num>
  <w:num w:numId="22" w16cid:durableId="1319532336">
    <w:abstractNumId w:val="6"/>
  </w:num>
  <w:num w:numId="23" w16cid:durableId="1341154147">
    <w:abstractNumId w:val="12"/>
  </w:num>
  <w:num w:numId="24" w16cid:durableId="796413596">
    <w:abstractNumId w:val="10"/>
  </w:num>
  <w:num w:numId="25" w16cid:durableId="20109795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0959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126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3EED"/>
    <w:rsid w:val="008D4602"/>
    <w:rsid w:val="008D4615"/>
    <w:rsid w:val="008D63BA"/>
    <w:rsid w:val="008D6A9E"/>
    <w:rsid w:val="008D7017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B7572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19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19B"/>
    <w:rsid w:val="00A615FE"/>
    <w:rsid w:val="00A61BC9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2F78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1C12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iska.kroh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2023-05-30T10:37:00Z</dcterms:created>
  <dcterms:modified xsi:type="dcterms:W3CDTF">2023-05-30T10:37:00Z</dcterms:modified>
</cp:coreProperties>
</file>