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E706" w14:textId="08501C0C" w:rsidR="00025142" w:rsidRPr="005A1444" w:rsidRDefault="00304562" w:rsidP="00025142">
      <w:pPr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Společnost </w:t>
      </w:r>
      <w:r w:rsidR="00025142" w:rsidRPr="005A1444">
        <w:rPr>
          <w:rFonts w:ascii="Arial" w:hAnsi="Arial" w:cs="Arial"/>
          <w:b/>
          <w:sz w:val="20"/>
          <w:szCs w:val="20"/>
          <w:lang w:val="cs-CZ"/>
        </w:rPr>
        <w:t xml:space="preserve">UBM Development </w:t>
      </w:r>
      <w:r w:rsidR="003E6801" w:rsidRPr="005A1444">
        <w:rPr>
          <w:rFonts w:ascii="Arial" w:hAnsi="Arial" w:cs="Arial"/>
          <w:b/>
          <w:sz w:val="20"/>
          <w:szCs w:val="20"/>
          <w:lang w:val="cs-CZ"/>
        </w:rPr>
        <w:t>potvrdil</w:t>
      </w:r>
      <w:r>
        <w:rPr>
          <w:rFonts w:ascii="Arial" w:hAnsi="Arial" w:cs="Arial"/>
          <w:b/>
          <w:sz w:val="20"/>
          <w:szCs w:val="20"/>
          <w:lang w:val="cs-CZ"/>
        </w:rPr>
        <w:t>a</w:t>
      </w:r>
      <w:r w:rsidR="003E6801" w:rsidRPr="005A144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236A3F" w:rsidRPr="005A1444">
        <w:rPr>
          <w:rFonts w:ascii="Arial" w:hAnsi="Arial" w:cs="Arial"/>
          <w:b/>
          <w:sz w:val="20"/>
          <w:szCs w:val="20"/>
          <w:lang w:val="cs-CZ"/>
        </w:rPr>
        <w:t>zisk</w:t>
      </w:r>
      <w:r w:rsidR="003E6801" w:rsidRPr="005A1444">
        <w:rPr>
          <w:rFonts w:ascii="Arial" w:hAnsi="Arial" w:cs="Arial"/>
          <w:b/>
          <w:sz w:val="20"/>
          <w:szCs w:val="20"/>
          <w:lang w:val="cs-CZ"/>
        </w:rPr>
        <w:t xml:space="preserve"> a </w:t>
      </w:r>
      <w:r w:rsidR="00025142" w:rsidRPr="005A1444">
        <w:rPr>
          <w:rFonts w:ascii="Arial" w:hAnsi="Arial" w:cs="Arial"/>
          <w:b/>
          <w:sz w:val="20"/>
          <w:szCs w:val="20"/>
          <w:lang w:val="cs-CZ"/>
        </w:rPr>
        <w:t>s</w:t>
      </w:r>
      <w:r w:rsidR="00C66B31">
        <w:rPr>
          <w:rFonts w:ascii="Arial" w:hAnsi="Arial" w:cs="Arial"/>
          <w:b/>
          <w:sz w:val="20"/>
          <w:szCs w:val="20"/>
          <w:lang w:val="cs-CZ"/>
        </w:rPr>
        <w:t>ilnou</w:t>
      </w:r>
      <w:r w:rsidR="00DD711F" w:rsidRPr="005A1444">
        <w:rPr>
          <w:rFonts w:ascii="Arial" w:hAnsi="Arial" w:cs="Arial"/>
          <w:b/>
          <w:sz w:val="20"/>
          <w:szCs w:val="20"/>
          <w:lang w:val="cs-CZ"/>
        </w:rPr>
        <w:t xml:space="preserve"> účetní rozvahu</w:t>
      </w:r>
    </w:p>
    <w:p w14:paraId="485ABA9B" w14:textId="77777777" w:rsidR="00025142" w:rsidRPr="005A1444" w:rsidRDefault="00025142" w:rsidP="00025142">
      <w:pPr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BB59596" w14:textId="0AFEAAD1" w:rsidR="00025142" w:rsidRPr="005A1444" w:rsidRDefault="00DD711F" w:rsidP="00DF086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A1444">
        <w:rPr>
          <w:rFonts w:ascii="Arial" w:hAnsi="Arial" w:cs="Arial"/>
          <w:b/>
          <w:sz w:val="20"/>
          <w:szCs w:val="20"/>
          <w:lang w:val="cs-CZ"/>
        </w:rPr>
        <w:t>Dividend</w:t>
      </w:r>
      <w:r w:rsidR="00DF0869" w:rsidRPr="005A1444">
        <w:rPr>
          <w:rFonts w:ascii="Arial" w:hAnsi="Arial" w:cs="Arial"/>
          <w:b/>
          <w:sz w:val="20"/>
          <w:szCs w:val="20"/>
          <w:lang w:val="cs-CZ"/>
        </w:rPr>
        <w:t>y</w:t>
      </w: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1C11F0" w:rsidRPr="005A1444">
        <w:rPr>
          <w:rFonts w:ascii="Arial" w:hAnsi="Arial" w:cs="Arial"/>
          <w:b/>
          <w:sz w:val="20"/>
          <w:szCs w:val="20"/>
          <w:lang w:val="cs-CZ"/>
        </w:rPr>
        <w:t xml:space="preserve">na jednu akcii za rok 2022 </w:t>
      </w: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ve výši </w:t>
      </w:r>
      <w:r w:rsidR="00025142" w:rsidRPr="005A1444">
        <w:rPr>
          <w:rFonts w:ascii="Arial" w:hAnsi="Arial" w:cs="Arial"/>
          <w:b/>
          <w:sz w:val="20"/>
          <w:szCs w:val="20"/>
          <w:lang w:val="cs-CZ"/>
        </w:rPr>
        <w:t xml:space="preserve">1,10 </w:t>
      </w: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eur </w:t>
      </w:r>
    </w:p>
    <w:p w14:paraId="60388E0E" w14:textId="1B831DB5" w:rsidR="00025142" w:rsidRPr="005A1444" w:rsidRDefault="00DF0869" w:rsidP="00DF086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Čistý zisk </w:t>
      </w:r>
      <w:r w:rsidR="00025142" w:rsidRPr="005A1444">
        <w:rPr>
          <w:rFonts w:ascii="Arial" w:hAnsi="Arial" w:cs="Arial"/>
          <w:b/>
          <w:sz w:val="20"/>
          <w:szCs w:val="20"/>
          <w:lang w:val="cs-CZ"/>
        </w:rPr>
        <w:t xml:space="preserve">27,1 mil. </w:t>
      </w:r>
      <w:r w:rsidRPr="005A1444">
        <w:rPr>
          <w:rFonts w:ascii="Arial" w:hAnsi="Arial" w:cs="Arial"/>
          <w:b/>
          <w:sz w:val="20"/>
          <w:szCs w:val="20"/>
          <w:lang w:val="cs-CZ"/>
        </w:rPr>
        <w:t>eur</w:t>
      </w:r>
      <w:r w:rsidR="00025142" w:rsidRPr="005A1444">
        <w:rPr>
          <w:rFonts w:ascii="Arial" w:hAnsi="Arial" w:cs="Arial"/>
          <w:b/>
          <w:sz w:val="20"/>
          <w:szCs w:val="20"/>
          <w:lang w:val="cs-CZ"/>
        </w:rPr>
        <w:t xml:space="preserve"> navzdory stagnaci na transakčním trhu</w:t>
      </w:r>
    </w:p>
    <w:p w14:paraId="74AEA4DF" w14:textId="17876A67" w:rsidR="00025142" w:rsidRPr="005A1444" w:rsidRDefault="00025142" w:rsidP="00DF086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Půl miliardy vlastního kapitálu a 323 milionů </w:t>
      </w:r>
      <w:r w:rsidR="00DF0869" w:rsidRPr="005A1444">
        <w:rPr>
          <w:rFonts w:ascii="Arial" w:hAnsi="Arial" w:cs="Arial"/>
          <w:b/>
          <w:sz w:val="20"/>
          <w:szCs w:val="20"/>
          <w:lang w:val="cs-CZ"/>
        </w:rPr>
        <w:t>eur v</w:t>
      </w:r>
      <w:r w:rsidR="00304562">
        <w:rPr>
          <w:rFonts w:ascii="Arial" w:hAnsi="Arial" w:cs="Arial"/>
          <w:b/>
          <w:sz w:val="20"/>
          <w:szCs w:val="20"/>
          <w:lang w:val="cs-CZ"/>
        </w:rPr>
        <w:t> </w:t>
      </w:r>
      <w:r w:rsidR="00DF0869" w:rsidRPr="005A1444">
        <w:rPr>
          <w:rFonts w:ascii="Arial" w:hAnsi="Arial" w:cs="Arial"/>
          <w:b/>
          <w:sz w:val="20"/>
          <w:szCs w:val="20"/>
          <w:lang w:val="cs-CZ"/>
        </w:rPr>
        <w:t>hotovosti</w:t>
      </w:r>
      <w:r w:rsidR="00304562">
        <w:rPr>
          <w:rFonts w:ascii="Arial" w:hAnsi="Arial" w:cs="Arial"/>
          <w:b/>
          <w:sz w:val="20"/>
          <w:szCs w:val="20"/>
          <w:lang w:val="cs-CZ"/>
        </w:rPr>
        <w:t xml:space="preserve"> </w:t>
      </w:r>
      <w:r w:rsidR="001C11F0" w:rsidRPr="005A1444">
        <w:rPr>
          <w:rFonts w:ascii="Arial" w:hAnsi="Arial" w:cs="Arial"/>
          <w:b/>
          <w:sz w:val="20"/>
          <w:szCs w:val="20"/>
          <w:lang w:val="cs-CZ"/>
        </w:rPr>
        <w:t xml:space="preserve">jako </w:t>
      </w:r>
      <w:r w:rsidRPr="005A1444">
        <w:rPr>
          <w:rFonts w:ascii="Arial" w:hAnsi="Arial" w:cs="Arial"/>
          <w:b/>
          <w:sz w:val="20"/>
          <w:szCs w:val="20"/>
          <w:lang w:val="cs-CZ"/>
        </w:rPr>
        <w:t>jasná konkurenční výhoda</w:t>
      </w:r>
    </w:p>
    <w:p w14:paraId="6AF7ED87" w14:textId="26C232C3" w:rsidR="00025142" w:rsidRPr="005A1444" w:rsidRDefault="00025142" w:rsidP="00DF086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Více než 250 000 m² </w:t>
      </w:r>
      <w:r w:rsidR="00DF0869" w:rsidRPr="005A1444">
        <w:rPr>
          <w:rFonts w:ascii="Arial" w:hAnsi="Arial" w:cs="Arial"/>
          <w:b/>
          <w:sz w:val="20"/>
          <w:szCs w:val="20"/>
          <w:lang w:val="cs-CZ"/>
        </w:rPr>
        <w:t>dřevostaveb</w:t>
      </w: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 do roku 2026 – </w:t>
      </w:r>
      <w:r w:rsidR="00304562">
        <w:rPr>
          <w:rFonts w:ascii="Arial" w:hAnsi="Arial" w:cs="Arial"/>
          <w:b/>
          <w:sz w:val="20"/>
          <w:szCs w:val="20"/>
          <w:lang w:val="cs-CZ"/>
        </w:rPr>
        <w:t xml:space="preserve">UBM </w:t>
      </w:r>
      <w:r w:rsidR="00962C37">
        <w:rPr>
          <w:rFonts w:ascii="Arial" w:hAnsi="Arial" w:cs="Arial"/>
          <w:b/>
          <w:sz w:val="20"/>
          <w:szCs w:val="20"/>
          <w:lang w:val="cs-CZ"/>
        </w:rPr>
        <w:t xml:space="preserve">na cestě </w:t>
      </w:r>
      <w:r w:rsidR="00304562">
        <w:rPr>
          <w:rFonts w:ascii="Arial" w:hAnsi="Arial" w:cs="Arial"/>
          <w:b/>
          <w:sz w:val="20"/>
          <w:szCs w:val="20"/>
          <w:lang w:val="cs-CZ"/>
        </w:rPr>
        <w:t>stát se vedoucím developerem v oblasti staveb s dřevěnou konstrukcí</w:t>
      </w:r>
    </w:p>
    <w:p w14:paraId="7B7203C3" w14:textId="52E97612" w:rsidR="00025142" w:rsidRPr="005A1444" w:rsidRDefault="001C11F0" w:rsidP="00DF086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Očekávané </w:t>
      </w:r>
      <w:r w:rsidR="0021077C">
        <w:rPr>
          <w:rFonts w:ascii="Arial" w:hAnsi="Arial" w:cs="Arial"/>
          <w:b/>
          <w:sz w:val="20"/>
          <w:szCs w:val="20"/>
          <w:lang w:val="cs-CZ"/>
        </w:rPr>
        <w:t>obtížné</w:t>
      </w:r>
      <w:r w:rsidR="00025142" w:rsidRPr="005A1444">
        <w:rPr>
          <w:rFonts w:ascii="Arial" w:hAnsi="Arial" w:cs="Arial"/>
          <w:b/>
          <w:sz w:val="20"/>
          <w:szCs w:val="20"/>
          <w:lang w:val="cs-CZ"/>
        </w:rPr>
        <w:t xml:space="preserve"> první pololetí a postupné zlepšování během 2. pololetí</w:t>
      </w:r>
      <w:r w:rsidRPr="005A1444">
        <w:rPr>
          <w:rFonts w:ascii="Arial" w:hAnsi="Arial" w:cs="Arial"/>
          <w:b/>
          <w:sz w:val="20"/>
          <w:szCs w:val="20"/>
          <w:lang w:val="cs-CZ"/>
        </w:rPr>
        <w:t xml:space="preserve"> roku </w:t>
      </w:r>
      <w:r w:rsidR="00025142" w:rsidRPr="005A1444">
        <w:rPr>
          <w:rFonts w:ascii="Arial" w:hAnsi="Arial" w:cs="Arial"/>
          <w:b/>
          <w:sz w:val="20"/>
          <w:szCs w:val="20"/>
          <w:lang w:val="cs-CZ"/>
        </w:rPr>
        <w:t>2023</w:t>
      </w:r>
    </w:p>
    <w:p w14:paraId="2D62B381" w14:textId="77777777" w:rsidR="002332A4" w:rsidRPr="005A1444" w:rsidRDefault="002332A4" w:rsidP="002332A4">
      <w:pPr>
        <w:pStyle w:val="Odstavecseseznamem"/>
        <w:spacing w:after="0" w:line="240" w:lineRule="auto"/>
        <w:ind w:left="714"/>
        <w:contextualSpacing w:val="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99B33F6" w14:textId="566065AF" w:rsidR="00025142" w:rsidRDefault="00025142" w:rsidP="003021A1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Vídeň, 17.04.2023 –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Společnost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UBM Development AG vytvořila v roce 2022 zisk před zdaněním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304562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62736C" w:rsidRPr="005A1444">
        <w:rPr>
          <w:rFonts w:ascii="Arial" w:hAnsi="Arial" w:cs="Arial"/>
          <w:color w:val="000000"/>
          <w:sz w:val="20"/>
          <w:szCs w:val="20"/>
          <w:lang w:val="cs-CZ"/>
        </w:rPr>
        <w:t>objemu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31,5 mil. </w:t>
      </w:r>
      <w:r w:rsidR="0062736C" w:rsidRPr="005A1444">
        <w:rPr>
          <w:rFonts w:ascii="Arial" w:hAnsi="Arial" w:cs="Arial"/>
          <w:color w:val="000000"/>
          <w:sz w:val="20"/>
          <w:szCs w:val="20"/>
          <w:lang w:val="cs-CZ"/>
        </w:rPr>
        <w:t>eur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a zisk na </w:t>
      </w:r>
      <w:r w:rsidR="0062736C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jednu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akcii </w:t>
      </w:r>
      <w:r w:rsidR="0062736C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ve výši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2,25 </w:t>
      </w:r>
      <w:r w:rsidR="0062736C" w:rsidRPr="005A1444">
        <w:rPr>
          <w:rFonts w:ascii="Arial" w:hAnsi="Arial" w:cs="Arial"/>
          <w:color w:val="000000"/>
          <w:sz w:val="20"/>
          <w:szCs w:val="20"/>
          <w:lang w:val="cs-CZ"/>
        </w:rPr>
        <w:t>eur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. Vzhledem k </w:t>
      </w:r>
      <w:r w:rsidR="0062736C" w:rsidRPr="005A1444">
        <w:rPr>
          <w:rFonts w:ascii="Arial" w:hAnsi="Arial" w:cs="Arial"/>
          <w:color w:val="000000"/>
          <w:sz w:val="20"/>
          <w:szCs w:val="20"/>
          <w:lang w:val="cs-CZ"/>
        </w:rPr>
        <w:t>naprosté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stagnaci na</w:t>
      </w:r>
      <w:r w:rsidR="00304562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transakčním trhu během druhého pololetí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je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čistý zisk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ve výši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27,1 mil.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eur více než </w:t>
      </w:r>
      <w:r w:rsidR="00304562">
        <w:rPr>
          <w:rFonts w:ascii="Arial" w:hAnsi="Arial" w:cs="Arial"/>
          <w:color w:val="000000"/>
          <w:sz w:val="20"/>
          <w:szCs w:val="20"/>
          <w:lang w:val="cs-CZ"/>
        </w:rPr>
        <w:t xml:space="preserve">dobrým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výsledkem. Snížení objemu zisku na polovinu v porovnání s předchozím rokem bylo vyvoláno také </w:t>
      </w:r>
      <w:r w:rsidR="00962C37">
        <w:rPr>
          <w:rFonts w:ascii="Arial" w:hAnsi="Arial" w:cs="Arial"/>
          <w:color w:val="000000"/>
          <w:sz w:val="20"/>
          <w:szCs w:val="20"/>
          <w:lang w:val="cs-CZ"/>
        </w:rPr>
        <w:t>opožděným</w:t>
      </w:r>
      <w:r w:rsidR="00304562">
        <w:rPr>
          <w:rFonts w:ascii="Arial" w:hAnsi="Arial" w:cs="Arial"/>
          <w:color w:val="000000"/>
          <w:sz w:val="20"/>
          <w:szCs w:val="20"/>
          <w:lang w:val="cs-CZ"/>
        </w:rPr>
        <w:t xml:space="preserve"> vydáním stavebních</w:t>
      </w:r>
      <w:r w:rsidR="00962C37">
        <w:rPr>
          <w:rFonts w:ascii="Arial" w:hAnsi="Arial" w:cs="Arial"/>
          <w:color w:val="000000"/>
          <w:sz w:val="20"/>
          <w:szCs w:val="20"/>
          <w:lang w:val="cs-CZ"/>
        </w:rPr>
        <w:t xml:space="preserve"> povolení a </w:t>
      </w:r>
      <w:r w:rsidR="00A504DC" w:rsidRPr="005A1444">
        <w:rPr>
          <w:rFonts w:ascii="Arial" w:hAnsi="Arial" w:cs="Arial"/>
          <w:color w:val="000000"/>
          <w:sz w:val="20"/>
          <w:szCs w:val="20"/>
          <w:lang w:val="cs-CZ"/>
        </w:rPr>
        <w:t>převod</w:t>
      </w:r>
      <w:r w:rsidR="00962C37">
        <w:rPr>
          <w:rFonts w:ascii="Arial" w:hAnsi="Arial" w:cs="Arial"/>
          <w:color w:val="000000"/>
          <w:sz w:val="20"/>
          <w:szCs w:val="20"/>
          <w:lang w:val="cs-CZ"/>
        </w:rPr>
        <w:t>y,</w:t>
      </w:r>
      <w:r w:rsidR="00A504DC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>očekávaný</w:t>
      </w:r>
      <w:r w:rsidR="00962C37">
        <w:rPr>
          <w:rFonts w:ascii="Arial" w:hAnsi="Arial" w:cs="Arial"/>
          <w:color w:val="000000"/>
          <w:sz w:val="20"/>
          <w:szCs w:val="20"/>
          <w:lang w:val="cs-CZ"/>
        </w:rPr>
        <w:t>mi ke konci r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oku 2022.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>„UBM prokázala sílu ve složitém tržním prostředí a potvrdila, že naše konzervativní finanční politika se vyplácí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,“ </w:t>
      </w:r>
      <w:r w:rsidR="00643E31">
        <w:rPr>
          <w:rFonts w:ascii="Arial" w:hAnsi="Arial" w:cs="Arial"/>
          <w:color w:val="000000"/>
          <w:sz w:val="20"/>
          <w:szCs w:val="20"/>
          <w:lang w:val="cs-CZ"/>
        </w:rPr>
        <w:t xml:space="preserve">řekl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>Patric Thate, finanční ředitel UBM Development AG.</w:t>
      </w:r>
    </w:p>
    <w:p w14:paraId="0465FEDB" w14:textId="77777777" w:rsidR="00E609C7" w:rsidRDefault="00E609C7" w:rsidP="003021A1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8CA94EA" w14:textId="31F0109A" w:rsidR="00E609C7" w:rsidRPr="007D4C06" w:rsidRDefault="00E609C7" w:rsidP="00E609C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7D4C06">
        <w:rPr>
          <w:rFonts w:ascii="Arial" w:hAnsi="Arial" w:cs="Arial"/>
          <w:sz w:val="20"/>
          <w:szCs w:val="20"/>
          <w:lang w:val="cs-CZ"/>
        </w:rPr>
        <w:t>V České republice působí UBM od roku 1993. „V letošním roce oslavíme 30. výročí od založení. Za tuto dobu realizovala naše společnost několik desítek projektů napříč celou Českou republikou,“ říká</w:t>
      </w:r>
      <w:r w:rsidRPr="007D4C06">
        <w:rPr>
          <w:rFonts w:ascii="Arial" w:eastAsia="Arial" w:hAnsi="Arial" w:cs="Arial"/>
          <w:i/>
          <w:iCs/>
          <w:sz w:val="20"/>
          <w:szCs w:val="20"/>
          <w:lang w:val="cs-CZ"/>
        </w:rPr>
        <w:t xml:space="preserve"> </w:t>
      </w:r>
      <w:r w:rsidRPr="007D4C06">
        <w:rPr>
          <w:rFonts w:ascii="Arial" w:hAnsi="Arial" w:cs="Arial"/>
          <w:sz w:val="20"/>
          <w:szCs w:val="20"/>
          <w:lang w:val="cs-CZ"/>
        </w:rPr>
        <w:t>Josef Wiedermann, jednatel UBM Development Czechia</w:t>
      </w:r>
      <w:r w:rsidR="00B65A65">
        <w:rPr>
          <w:rFonts w:ascii="Arial" w:hAnsi="Arial" w:cs="Arial"/>
          <w:sz w:val="20"/>
          <w:szCs w:val="20"/>
          <w:lang w:val="cs-CZ"/>
        </w:rPr>
        <w:t>,</w:t>
      </w:r>
      <w:r w:rsidRPr="007D4C06">
        <w:rPr>
          <w:rFonts w:ascii="Arial" w:hAnsi="Arial" w:cs="Arial"/>
          <w:sz w:val="20"/>
          <w:szCs w:val="20"/>
          <w:lang w:val="cs-CZ"/>
        </w:rPr>
        <w:t xml:space="preserve"> a dodává: „</w:t>
      </w:r>
      <w:r w:rsidR="00261E44">
        <w:rPr>
          <w:rFonts w:ascii="Arial" w:hAnsi="Arial" w:cs="Arial"/>
          <w:sz w:val="20"/>
          <w:szCs w:val="20"/>
          <w:lang w:val="cs-CZ"/>
        </w:rPr>
        <w:t>R</w:t>
      </w:r>
      <w:r w:rsidRPr="007D4C06">
        <w:rPr>
          <w:rFonts w:ascii="Arial" w:hAnsi="Arial" w:cs="Arial"/>
          <w:sz w:val="20"/>
          <w:szCs w:val="20"/>
          <w:lang w:val="cs-CZ"/>
        </w:rPr>
        <w:t>ok 2022 hodnotíme v České republice jako úspěšný</w:t>
      </w:r>
      <w:r w:rsidR="00643E31">
        <w:rPr>
          <w:rFonts w:ascii="Arial" w:hAnsi="Arial" w:cs="Arial"/>
          <w:sz w:val="20"/>
          <w:szCs w:val="20"/>
          <w:lang w:val="cs-CZ"/>
        </w:rPr>
        <w:t>,</w:t>
      </w:r>
      <w:r w:rsidRPr="007D4C06">
        <w:rPr>
          <w:rFonts w:ascii="Arial" w:hAnsi="Arial" w:cs="Arial"/>
          <w:sz w:val="20"/>
          <w:szCs w:val="20"/>
          <w:lang w:val="cs-CZ"/>
        </w:rPr>
        <w:t xml:space="preserve"> a to navzdory nepříznivým ekonomickým faktorům v oblasti energetiky, vysoké inflaci či rostoucím vstupním realizačním nákladům v souvislosti se zdražováním materiálů a práce.  V minulém roce jsme dokončili zdařilou a cenami ověnčenou</w:t>
      </w:r>
      <w:r w:rsidR="00261E44">
        <w:rPr>
          <w:rFonts w:ascii="Arial" w:hAnsi="Arial" w:cs="Arial"/>
          <w:sz w:val="20"/>
          <w:szCs w:val="20"/>
          <w:lang w:val="cs-CZ"/>
        </w:rPr>
        <w:t xml:space="preserve"> </w:t>
      </w:r>
      <w:r w:rsidRPr="007D4C06">
        <w:rPr>
          <w:rFonts w:ascii="Arial" w:hAnsi="Arial" w:cs="Arial"/>
          <w:sz w:val="20"/>
          <w:szCs w:val="20"/>
          <w:lang w:val="cs-CZ"/>
        </w:rPr>
        <w:t>rekonstrukci Cukrovarnického paláce na Senovážném náměstí, kde se na jaře 2022 otevřel pětihvězdičkový lifestylový hotel Andaz Prague. Aktuálně stavíme rezidenční komplex Arcus City v městské části Praha-Řeporyje, projekt Astrid Garden v Holešovicích v Praze 7</w:t>
      </w:r>
      <w:r w:rsidRPr="007D4C06">
        <w:rPr>
          <w:rFonts w:ascii="Roboto" w:hAnsi="Roboto"/>
          <w:shd w:val="clear" w:color="auto" w:fill="FFFFFF"/>
          <w:lang w:val="cs-CZ"/>
        </w:rPr>
        <w:t xml:space="preserve"> </w:t>
      </w:r>
      <w:r w:rsidRPr="007D4C06">
        <w:rPr>
          <w:rFonts w:ascii="Arial" w:hAnsi="Arial" w:cs="Arial"/>
          <w:sz w:val="20"/>
          <w:szCs w:val="20"/>
          <w:lang w:val="cs-CZ"/>
        </w:rPr>
        <w:t xml:space="preserve">a připravujeme nový projekt na Smíchově. Všechny naše rezidenční projekty realizujeme s ekologickou certifikací BREEAM. Navazujeme také na vizi naší mateřské společnosti UBM Development AG stát se největším evropským developerem ekologických budov s dřevěnou konstrukcí a brzy ohlásíme výstavbu a prodej projektu Timber Praha. Soustředíme se také na nové akvizice, a to nejen v rezidenčním segmentu.“ </w:t>
      </w:r>
    </w:p>
    <w:p w14:paraId="0329C905" w14:textId="77777777" w:rsidR="00796FE3" w:rsidRDefault="00796FE3" w:rsidP="00025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162F678E" w14:textId="3DB5D143" w:rsidR="00025142" w:rsidRPr="005A1444" w:rsidRDefault="00025142" w:rsidP="00025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Spolehlivý plátce dividend</w:t>
      </w:r>
    </w:p>
    <w:p w14:paraId="4065B540" w14:textId="428808A2" w:rsidR="00025142" w:rsidRPr="005A1444" w:rsidRDefault="00025142" w:rsidP="00025142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color w:val="000000"/>
          <w:sz w:val="20"/>
          <w:szCs w:val="20"/>
          <w:lang w:val="cs-CZ"/>
        </w:rPr>
        <w:t>Představenstvo a dozorčí rada UBM navrhne výroční valné hromadě, která se bude konat 19.</w:t>
      </w:r>
      <w:r w:rsidR="00C66B31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května 2023 </w:t>
      </w:r>
      <w:r w:rsidR="0009024F" w:rsidRPr="005A1444">
        <w:rPr>
          <w:rFonts w:ascii="Arial" w:hAnsi="Arial" w:cs="Arial"/>
          <w:color w:val="000000"/>
          <w:sz w:val="20"/>
          <w:szCs w:val="20"/>
          <w:lang w:val="cs-CZ"/>
        </w:rPr>
        <w:t>ve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09024F" w:rsidRPr="005A1444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ídeňské obchodní komoře („Haus der Industrie“), dividendu ve výši 1,10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>eur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na </w:t>
      </w:r>
      <w:r w:rsidR="00BB500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jednu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>akcii (</w:t>
      </w:r>
      <w:r w:rsidR="00C66B31">
        <w:rPr>
          <w:rFonts w:ascii="Arial" w:hAnsi="Arial" w:cs="Arial"/>
          <w:color w:val="000000"/>
          <w:sz w:val="20"/>
          <w:szCs w:val="20"/>
          <w:lang w:val="cs-CZ"/>
        </w:rPr>
        <w:t xml:space="preserve">v roce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>2021</w:t>
      </w:r>
      <w:r w:rsidR="00C66B31">
        <w:rPr>
          <w:rFonts w:ascii="Arial" w:hAnsi="Arial" w:cs="Arial"/>
          <w:color w:val="000000"/>
          <w:sz w:val="20"/>
          <w:szCs w:val="20"/>
          <w:lang w:val="cs-CZ"/>
        </w:rPr>
        <w:t xml:space="preserve"> to bylo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2,25 </w:t>
      </w:r>
      <w:r w:rsidR="0009024F" w:rsidRPr="005A1444">
        <w:rPr>
          <w:rFonts w:ascii="Arial" w:hAnsi="Arial" w:cs="Arial"/>
          <w:color w:val="000000"/>
          <w:sz w:val="20"/>
          <w:szCs w:val="20"/>
          <w:lang w:val="cs-CZ"/>
        </w:rPr>
        <w:t>eur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na akcii). „UBM je spolehlivým plátcem dividend v</w:t>
      </w:r>
      <w:r w:rsidR="0009024F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 časech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dobrých i </w:t>
      </w:r>
      <w:r w:rsidR="0009024F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zlých,“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>zdůraznil Thomas G. Winkler, generální ředitel UBM Development AG. „Jsme bezesporu jedním z</w:t>
      </w:r>
      <w:r w:rsidR="00C66B31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největších plátců dividend </w:t>
      </w:r>
      <w:r w:rsidR="0009024F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 rámci Vídeňské burzy cenných papírů, kde máme rovněž zastoupení </w:t>
      </w:r>
      <w:r w:rsidR="0009024F" w:rsidRPr="00A81FE4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384787" w:rsidRPr="00A81FE4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09024F" w:rsidRPr="00A81FE4">
        <w:rPr>
          <w:rFonts w:ascii="Arial" w:hAnsi="Arial" w:cs="Arial"/>
          <w:color w:val="000000"/>
          <w:sz w:val="20"/>
          <w:szCs w:val="20"/>
          <w:lang w:val="cs-CZ"/>
        </w:rPr>
        <w:t>žebříč</w:t>
      </w:r>
      <w:r w:rsidR="00384787" w:rsidRPr="00A81FE4">
        <w:rPr>
          <w:rFonts w:ascii="Arial" w:hAnsi="Arial" w:cs="Arial"/>
          <w:color w:val="000000"/>
          <w:sz w:val="20"/>
          <w:szCs w:val="20"/>
          <w:lang w:val="cs-CZ"/>
        </w:rPr>
        <w:t>cích</w:t>
      </w:r>
      <w:r w:rsidR="00384787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>„ATX Top Dividend“ a 15 nejlepší</w:t>
      </w:r>
      <w:r w:rsidR="00384787" w:rsidRPr="005A1444">
        <w:rPr>
          <w:rFonts w:ascii="Arial" w:hAnsi="Arial" w:cs="Arial"/>
          <w:color w:val="000000"/>
          <w:sz w:val="20"/>
          <w:szCs w:val="20"/>
          <w:lang w:val="cs-CZ"/>
        </w:rPr>
        <w:t>ch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dividendový</w:t>
      </w:r>
      <w:r w:rsidR="00384787" w:rsidRPr="005A1444">
        <w:rPr>
          <w:rFonts w:ascii="Arial" w:hAnsi="Arial" w:cs="Arial"/>
          <w:color w:val="000000"/>
          <w:sz w:val="20"/>
          <w:szCs w:val="20"/>
          <w:lang w:val="cs-CZ"/>
        </w:rPr>
        <w:t>ch akcií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v Rakousku,“ dodal Winkler.</w:t>
      </w:r>
    </w:p>
    <w:p w14:paraId="019DA534" w14:textId="77777777" w:rsidR="00D60EFF" w:rsidRPr="005A1444" w:rsidRDefault="00D60EFF" w:rsidP="00051062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2C1F5C23" w14:textId="72B12E08" w:rsidR="00025142" w:rsidRPr="005A1444" w:rsidRDefault="00025142" w:rsidP="00025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S</w:t>
      </w:r>
      <w:r w:rsidR="00C66B31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ilná</w:t>
      </w:r>
      <w:r w:rsidR="00690439"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účetní rozvaha a </w:t>
      </w:r>
      <w:r w:rsidR="00183998"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značné</w:t>
      </w:r>
      <w:r w:rsidR="00690439"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hotovostní rezervy</w:t>
      </w:r>
    </w:p>
    <w:p w14:paraId="781FCDF2" w14:textId="7182A7E3" w:rsidR="00025142" w:rsidRPr="005A1444" w:rsidRDefault="00204974" w:rsidP="00025142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Podklady účetní rozvahy za rok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2022 nadále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přinášejí společnosti UBM konkurenční výhodu. UBM měla ke konci roku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2022 více než půl miliardy eur vlastního kapitálu (2022: 501,4 milionů eur). To </w:t>
      </w:r>
      <w:r w:rsidR="002E333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při objemu </w:t>
      </w:r>
      <w:r w:rsidR="002E333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celkových aktiv 1 451,8 mil. </w:t>
      </w:r>
      <w:r w:rsidR="002E3330" w:rsidRPr="00367760">
        <w:rPr>
          <w:rFonts w:ascii="Arial" w:hAnsi="Arial" w:cs="Arial"/>
          <w:color w:val="000000"/>
          <w:sz w:val="20"/>
          <w:szCs w:val="20"/>
          <w:lang w:val="cs-CZ"/>
        </w:rPr>
        <w:t xml:space="preserve">eur představuje poměr </w:t>
      </w:r>
      <w:r w:rsidR="00164FBB" w:rsidRPr="00367760">
        <w:rPr>
          <w:rFonts w:ascii="Arial" w:hAnsi="Arial" w:cs="Arial"/>
          <w:color w:val="000000"/>
          <w:sz w:val="20"/>
          <w:szCs w:val="20"/>
          <w:lang w:val="cs-CZ"/>
        </w:rPr>
        <w:t xml:space="preserve">vlastního kapitálu </w:t>
      </w:r>
      <w:r w:rsidR="00025142" w:rsidRPr="00367760">
        <w:rPr>
          <w:rFonts w:ascii="Arial" w:hAnsi="Arial" w:cs="Arial"/>
          <w:color w:val="000000"/>
          <w:sz w:val="20"/>
          <w:szCs w:val="20"/>
          <w:lang w:val="cs-CZ"/>
        </w:rPr>
        <w:t>34,5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%</w:t>
      </w:r>
      <w:r w:rsidR="002E3330" w:rsidRPr="005A1444">
        <w:rPr>
          <w:rFonts w:ascii="Arial" w:hAnsi="Arial" w:cs="Arial"/>
          <w:color w:val="000000"/>
          <w:sz w:val="20"/>
          <w:szCs w:val="20"/>
          <w:lang w:val="cs-CZ"/>
        </w:rPr>
        <w:t>.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Likvidita, t</w:t>
      </w:r>
      <w:r w:rsidR="00C66B31">
        <w:rPr>
          <w:rFonts w:ascii="Arial" w:hAnsi="Arial" w:cs="Arial"/>
          <w:color w:val="000000"/>
          <w:sz w:val="20"/>
          <w:szCs w:val="20"/>
          <w:lang w:val="cs-CZ"/>
        </w:rPr>
        <w:t xml:space="preserve">o znamená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hotovost a peněžní ekvivalenty, </w:t>
      </w:r>
      <w:r w:rsidR="002E333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dosahovala </w:t>
      </w:r>
      <w:r w:rsidR="00184590">
        <w:rPr>
          <w:rFonts w:ascii="Arial" w:hAnsi="Arial" w:cs="Arial"/>
          <w:color w:val="000000"/>
          <w:sz w:val="20"/>
          <w:szCs w:val="20"/>
          <w:lang w:val="cs-CZ"/>
        </w:rPr>
        <w:t>mimořádně</w:t>
      </w:r>
      <w:r w:rsidR="002E333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vysoké hodnoty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322,9 mil. </w:t>
      </w:r>
      <w:r w:rsidR="002E3330" w:rsidRPr="005A1444">
        <w:rPr>
          <w:rFonts w:ascii="Arial" w:hAnsi="Arial" w:cs="Arial"/>
          <w:color w:val="000000"/>
          <w:sz w:val="20"/>
          <w:szCs w:val="20"/>
          <w:lang w:val="cs-CZ"/>
        </w:rPr>
        <w:t>eur, a</w:t>
      </w:r>
      <w:r w:rsidR="00C66B31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2E333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to navzdory </w:t>
      </w:r>
      <w:r w:rsidR="00A504DC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splácení dluhopisů a akvizicí projektů </w:t>
      </w:r>
      <w:r w:rsidR="00183998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realizovaných </w:t>
      </w:r>
      <w:r w:rsidR="00A504DC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 souladu s plánem.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Čistý dluh činil </w:t>
      </w:r>
      <w:r w:rsidR="00183998" w:rsidRPr="005A1444">
        <w:rPr>
          <w:rFonts w:ascii="Arial" w:hAnsi="Arial" w:cs="Arial"/>
          <w:color w:val="000000"/>
          <w:sz w:val="20"/>
          <w:szCs w:val="20"/>
          <w:lang w:val="cs-CZ"/>
        </w:rPr>
        <w:t>ke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konci finančního roku zhruba půl miliardy eur (2022: 500,2 milionu eur).</w:t>
      </w:r>
    </w:p>
    <w:p w14:paraId="30A0B890" w14:textId="77777777" w:rsidR="001C524B" w:rsidRPr="005A1444" w:rsidRDefault="001C524B" w:rsidP="00F87913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043F8597" w14:textId="060902CA" w:rsidR="00025142" w:rsidRPr="005A1444" w:rsidRDefault="00025142" w:rsidP="00025142">
      <w:pPr>
        <w:pStyle w:val="Default"/>
        <w:jc w:val="both"/>
        <w:rPr>
          <w:rFonts w:ascii="Arial" w:eastAsiaTheme="minorEastAsia" w:hAnsi="Arial" w:cs="Arial"/>
          <w:b/>
          <w:bCs/>
          <w:sz w:val="20"/>
          <w:szCs w:val="20"/>
          <w:lang w:val="cs-CZ" w:eastAsia="de-DE"/>
        </w:rPr>
      </w:pPr>
      <w:r w:rsidRPr="005A1444">
        <w:rPr>
          <w:rFonts w:ascii="Arial" w:eastAsiaTheme="minorEastAsia" w:hAnsi="Arial" w:cs="Arial"/>
          <w:b/>
          <w:bCs/>
          <w:sz w:val="20"/>
          <w:szCs w:val="20"/>
          <w:lang w:val="cs-CZ" w:eastAsia="de-DE"/>
        </w:rPr>
        <w:t xml:space="preserve">Více než 250 000 m² </w:t>
      </w:r>
      <w:r w:rsidR="00FA6DF7" w:rsidRPr="005A1444">
        <w:rPr>
          <w:rFonts w:ascii="Arial" w:eastAsiaTheme="minorEastAsia" w:hAnsi="Arial" w:cs="Arial"/>
          <w:b/>
          <w:bCs/>
          <w:sz w:val="20"/>
          <w:szCs w:val="20"/>
          <w:lang w:val="cs-CZ" w:eastAsia="de-DE"/>
        </w:rPr>
        <w:t xml:space="preserve">dřevostaveb do roku </w:t>
      </w:r>
      <w:r w:rsidRPr="005A1444">
        <w:rPr>
          <w:rFonts w:ascii="Arial" w:eastAsiaTheme="minorEastAsia" w:hAnsi="Arial" w:cs="Arial"/>
          <w:b/>
          <w:bCs/>
          <w:sz w:val="20"/>
          <w:szCs w:val="20"/>
          <w:lang w:val="cs-CZ" w:eastAsia="de-DE"/>
        </w:rPr>
        <w:t>2026</w:t>
      </w:r>
    </w:p>
    <w:p w14:paraId="2333D5D2" w14:textId="25C904C9" w:rsidR="00025142" w:rsidRPr="005A1444" w:rsidRDefault="00025142" w:rsidP="00025142">
      <w:pPr>
        <w:pStyle w:val="Default"/>
        <w:jc w:val="both"/>
        <w:rPr>
          <w:rFonts w:ascii="Arial" w:eastAsiaTheme="minorEastAsia" w:hAnsi="Arial" w:cs="Arial"/>
          <w:sz w:val="20"/>
          <w:szCs w:val="20"/>
          <w:lang w:val="cs-CZ" w:eastAsia="de-DE"/>
        </w:rPr>
      </w:pP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V</w:t>
      </w:r>
      <w:r w:rsidR="000857F8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 realizaci </w:t>
      </w:r>
      <w:r w:rsidR="00FA6DF7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nebo v plánu je již více než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250 000 m² </w:t>
      </w:r>
      <w:r w:rsidR="00C66B31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plochy v budovách s </w:t>
      </w:r>
      <w:r w:rsidR="00FA6DF7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hybridní dřevěn</w:t>
      </w:r>
      <w:r w:rsidR="00C66B31">
        <w:rPr>
          <w:rFonts w:ascii="Arial" w:eastAsiaTheme="minorEastAsia" w:hAnsi="Arial" w:cs="Arial"/>
          <w:sz w:val="20"/>
          <w:szCs w:val="20"/>
          <w:lang w:val="cs-CZ" w:eastAsia="de-DE"/>
        </w:rPr>
        <w:t>ou</w:t>
      </w:r>
      <w:r w:rsidR="00FA6DF7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 konstrukcí. </w:t>
      </w:r>
      <w:r w:rsidR="00C66B31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UBM tak podporuje svůj cíl </w:t>
      </w:r>
      <w:r w:rsidR="00B179D4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stát se jedním z</w:t>
      </w:r>
      <w:r w:rsidR="00A4493B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 předních</w:t>
      </w:r>
      <w:r w:rsidR="00B179D4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developerů </w:t>
      </w:r>
      <w:r w:rsidR="00183998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v oblasti výstavby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dřevostaveb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lastRenderedPageBreak/>
        <w:t>v</w:t>
      </w:r>
      <w:r w:rsidR="00367760">
        <w:rPr>
          <w:rFonts w:ascii="Arial" w:eastAsiaTheme="minorEastAsia" w:hAnsi="Arial" w:cs="Arial"/>
          <w:sz w:val="20"/>
          <w:szCs w:val="20"/>
          <w:lang w:val="cs-CZ" w:eastAsia="de-DE"/>
        </w:rPr>
        <w:t> 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Evropě. </w:t>
      </w:r>
      <w:r w:rsidR="00B179D4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Budoucí zisky společnosti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UBM j</w:t>
      </w:r>
      <w:r w:rsidR="00B179D4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sou zajištěny příjmy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ve výši 2,1 miliardy </w:t>
      </w:r>
      <w:r w:rsidR="00C83F41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eur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 ze</w:t>
      </w:r>
      <w:r w:rsidR="00C66B31">
        <w:rPr>
          <w:rFonts w:ascii="Arial" w:eastAsiaTheme="minorEastAsia" w:hAnsi="Arial" w:cs="Arial"/>
          <w:sz w:val="20"/>
          <w:szCs w:val="20"/>
          <w:lang w:val="cs-CZ" w:eastAsia="de-DE"/>
        </w:rPr>
        <w:t> 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stávající</w:t>
      </w:r>
      <w:r w:rsidR="00C83F41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ch developerských realizací.</w:t>
      </w:r>
      <w:r w:rsidR="00B179D4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Tyto projekty se nacházejí z větší části (90 %) v Německu a</w:t>
      </w:r>
      <w:r w:rsidR="00C66B31">
        <w:rPr>
          <w:rFonts w:ascii="Arial" w:eastAsiaTheme="minorEastAsia" w:hAnsi="Arial" w:cs="Arial"/>
          <w:sz w:val="20"/>
          <w:szCs w:val="20"/>
          <w:lang w:val="cs-CZ" w:eastAsia="de-DE"/>
        </w:rPr>
        <w:t> 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Rakousku, </w:t>
      </w:r>
      <w:r w:rsidR="00C83F41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a to v segmentech 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 xml:space="preserve">rezidenčních (57 %) a kancelářských (43 %) </w:t>
      </w:r>
      <w:r w:rsidR="00C83F41"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nemovitostí</w:t>
      </w:r>
      <w:r w:rsidRPr="005A1444">
        <w:rPr>
          <w:rFonts w:ascii="Arial" w:eastAsiaTheme="minorEastAsia" w:hAnsi="Arial" w:cs="Arial"/>
          <w:sz w:val="20"/>
          <w:szCs w:val="20"/>
          <w:lang w:val="cs-CZ" w:eastAsia="de-DE"/>
        </w:rPr>
        <w:t>.</w:t>
      </w:r>
    </w:p>
    <w:p w14:paraId="2D8CFEE6" w14:textId="0F319D5E" w:rsidR="001C524B" w:rsidRDefault="001C524B" w:rsidP="00F87913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4247DA8F" w14:textId="064A88F6" w:rsidR="00025142" w:rsidRPr="005A1444" w:rsidRDefault="00C83F41" w:rsidP="00025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Zelené finance pro budoucí financování</w:t>
      </w:r>
    </w:p>
    <w:p w14:paraId="60EFA8B3" w14:textId="17338CD7" w:rsidR="00076C73" w:rsidRPr="005A1444" w:rsidRDefault="00A4493B" w:rsidP="00F87913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íce než 50 % svého financování </w:t>
      </w:r>
      <w:r>
        <w:rPr>
          <w:rFonts w:ascii="Arial" w:hAnsi="Arial" w:cs="Arial"/>
          <w:color w:val="000000"/>
          <w:sz w:val="20"/>
          <w:szCs w:val="20"/>
          <w:lang w:val="cs-CZ"/>
        </w:rPr>
        <w:t xml:space="preserve">převedla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UBM v posledních letech</w:t>
      </w:r>
      <w:r w:rsidR="00C83F4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 xml:space="preserve">na </w:t>
      </w:r>
      <w:r w:rsidR="00C83F41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zelené financování.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polečnost </w:t>
      </w:r>
      <w:r>
        <w:rPr>
          <w:rFonts w:ascii="Arial" w:hAnsi="Arial" w:cs="Arial"/>
          <w:color w:val="000000"/>
          <w:sz w:val="20"/>
          <w:szCs w:val="20"/>
          <w:lang w:val="cs-CZ"/>
        </w:rPr>
        <w:t>se v</w:t>
      </w:r>
      <w:r w:rsidR="007A5877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 rámci zeleného financování zavázala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zahrnout aspekty udržitelnosti do svých budoucích finančních nástrojů. </w:t>
      </w:r>
      <w:r>
        <w:rPr>
          <w:rFonts w:ascii="Arial" w:hAnsi="Arial" w:cs="Arial"/>
          <w:color w:val="000000"/>
          <w:sz w:val="20"/>
          <w:szCs w:val="20"/>
          <w:lang w:val="cs-CZ"/>
        </w:rPr>
        <w:t>Tento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rámec </w:t>
      </w:r>
      <w:r w:rsidR="007A5877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vychází z taxonomie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EU a </w:t>
      </w:r>
      <w:r w:rsidR="007A5877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jeho zásady </w:t>
      </w:r>
      <w:r w:rsidR="00E15550">
        <w:rPr>
          <w:rFonts w:ascii="Arial" w:hAnsi="Arial" w:cs="Arial"/>
          <w:color w:val="000000"/>
          <w:sz w:val="20"/>
          <w:szCs w:val="20"/>
          <w:lang w:val="cs-CZ"/>
        </w:rPr>
        <w:t xml:space="preserve">jsou uvedeny na 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 xml:space="preserve">webu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UBM. </w:t>
      </w:r>
      <w:r w:rsidR="000B6003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Agentura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ISS ESG již vydala stanovisko druhé strany.</w:t>
      </w:r>
    </w:p>
    <w:p w14:paraId="34A3D895" w14:textId="77777777" w:rsidR="00025142" w:rsidRPr="005A1444" w:rsidRDefault="00025142" w:rsidP="00051062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54E68DCB" w14:textId="77777777" w:rsidR="00025142" w:rsidRPr="005A1444" w:rsidRDefault="00025142" w:rsidP="00025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Další dobrovolný audit zprávy ESG</w:t>
      </w:r>
    </w:p>
    <w:p w14:paraId="1F9F10FB" w14:textId="7F718AC1" w:rsidR="00025142" w:rsidRPr="005A1444" w:rsidRDefault="002733B5" w:rsidP="00025142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UBM </w:t>
      </w:r>
      <w:r>
        <w:rPr>
          <w:rFonts w:ascii="Arial" w:hAnsi="Arial" w:cs="Arial"/>
          <w:color w:val="000000"/>
          <w:sz w:val="20"/>
          <w:szCs w:val="20"/>
          <w:lang w:val="cs-CZ"/>
        </w:rPr>
        <w:t>vydala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cs-CZ"/>
        </w:rPr>
        <w:t>s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ouběžně se zveřejněním výroční zprávy a rámce zelených financí také sv</w:t>
      </w:r>
      <w:r w:rsidR="00FC6616">
        <w:rPr>
          <w:rFonts w:ascii="Arial" w:hAnsi="Arial" w:cs="Arial"/>
          <w:color w:val="000000"/>
          <w:sz w:val="20"/>
          <w:szCs w:val="20"/>
          <w:lang w:val="cs-CZ"/>
        </w:rPr>
        <w:t>oji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ESG 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zprávu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za rok 2022. Audit byl proveden autorizovaným účetním a organizován na dobrovolném základě v rámci přípravy na budoucí požadavky </w:t>
      </w:r>
      <w:r w:rsidR="00866BF3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směrnice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CSRD</w:t>
      </w:r>
      <w:r w:rsidR="00866BF3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(Corporate Sustainability Reporting Directive)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. Zpráva ESG pokrývá strategické zaměření UBM na udržitelnost a představuje širokou škálu opatření </w:t>
      </w:r>
      <w:r w:rsidR="00184590">
        <w:rPr>
          <w:rFonts w:ascii="Arial" w:hAnsi="Arial" w:cs="Arial"/>
          <w:color w:val="000000"/>
          <w:sz w:val="20"/>
          <w:szCs w:val="20"/>
          <w:lang w:val="cs-CZ"/>
        </w:rPr>
        <w:t>i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katalog cílů.</w:t>
      </w:r>
    </w:p>
    <w:p w14:paraId="4FD10E00" w14:textId="77777777" w:rsidR="00025142" w:rsidRPr="005A1444" w:rsidRDefault="00025142" w:rsidP="0005106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p w14:paraId="74C3F04D" w14:textId="77777777" w:rsidR="00025142" w:rsidRPr="005A1444" w:rsidRDefault="00025142" w:rsidP="0002514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Výhled</w:t>
      </w:r>
    </w:p>
    <w:p w14:paraId="47F138A1" w14:textId="1F45EA0A" w:rsidR="00025142" w:rsidRDefault="00866BF3" w:rsidP="00025142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V současné 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>fázi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je obtížné odhad</w:t>
      </w:r>
      <w:r w:rsidR="008830E0" w:rsidRPr="005A1444">
        <w:rPr>
          <w:rFonts w:ascii="Arial" w:hAnsi="Arial" w:cs="Arial"/>
          <w:color w:val="000000"/>
          <w:sz w:val="20"/>
          <w:szCs w:val="20"/>
          <w:lang w:val="cs-CZ"/>
        </w:rPr>
        <w:t>ovat</w:t>
      </w:r>
      <w:r w:rsidRPr="005A1444">
        <w:rPr>
          <w:rFonts w:ascii="Arial" w:hAnsi="Arial" w:cs="Arial"/>
          <w:color w:val="000000"/>
          <w:sz w:val="20"/>
          <w:szCs w:val="20"/>
          <w:lang w:val="cs-CZ"/>
        </w:rPr>
        <w:t>, kdy bude na trhu dosaženo</w:t>
      </w:r>
      <w:r w:rsidR="0054065B">
        <w:rPr>
          <w:rFonts w:ascii="Arial" w:hAnsi="Arial" w:cs="Arial"/>
          <w:color w:val="000000"/>
          <w:sz w:val="20"/>
          <w:szCs w:val="20"/>
          <w:lang w:val="cs-CZ"/>
        </w:rPr>
        <w:t xml:space="preserve"> 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>cenové hladiny příznivé pro transakc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>e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UBM neočekává žádné </w:t>
      </w:r>
      <w:r w:rsidR="00FC6616">
        <w:rPr>
          <w:rFonts w:ascii="Arial" w:hAnsi="Arial" w:cs="Arial"/>
          <w:color w:val="000000"/>
          <w:sz w:val="20"/>
          <w:szCs w:val="20"/>
          <w:lang w:val="cs-CZ"/>
        </w:rPr>
        <w:t>významné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obchody </w:t>
      </w:r>
      <w:r w:rsidR="002733B5">
        <w:rPr>
          <w:rFonts w:ascii="Arial" w:hAnsi="Arial" w:cs="Arial"/>
          <w:color w:val="000000"/>
          <w:sz w:val="20"/>
          <w:szCs w:val="20"/>
          <w:lang w:val="cs-CZ"/>
        </w:rPr>
        <w:t xml:space="preserve">před druhou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polovin</w:t>
      </w:r>
      <w:r w:rsidR="002733B5">
        <w:rPr>
          <w:rFonts w:ascii="Arial" w:hAnsi="Arial" w:cs="Arial"/>
          <w:color w:val="000000"/>
          <w:sz w:val="20"/>
          <w:szCs w:val="20"/>
          <w:lang w:val="cs-CZ"/>
        </w:rPr>
        <w:t>ou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roku 2023. 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Trend zvyšující se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inflace, 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stoupajících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úrokov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ých sazeb a rostoucích stavebních nákladů potrvá </w:t>
      </w:r>
      <w:r w:rsidR="008830E0" w:rsidRPr="005A1444">
        <w:rPr>
          <w:rFonts w:ascii="Arial" w:hAnsi="Arial" w:cs="Arial"/>
          <w:color w:val="000000"/>
          <w:sz w:val="20"/>
          <w:szCs w:val="20"/>
          <w:lang w:val="cs-CZ"/>
        </w:rPr>
        <w:t>nadále po</w:t>
      </w:r>
      <w:r w:rsidR="0054065B">
        <w:rPr>
          <w:rFonts w:ascii="Arial" w:hAnsi="Arial" w:cs="Arial"/>
          <w:color w:val="000000"/>
          <w:sz w:val="20"/>
          <w:szCs w:val="20"/>
          <w:lang w:val="cs-CZ"/>
        </w:rPr>
        <w:t> 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>celý rok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. </w:t>
      </w:r>
      <w:r w:rsidR="008830E0" w:rsidRPr="005A1444">
        <w:rPr>
          <w:rFonts w:ascii="Arial" w:hAnsi="Arial" w:cs="Arial"/>
          <w:color w:val="000000"/>
          <w:sz w:val="20"/>
          <w:szCs w:val="20"/>
          <w:lang w:val="cs-CZ"/>
        </w:rPr>
        <w:t>P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optávka po </w:t>
      </w:r>
      <w:r w:rsidR="008830E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takových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>nemovitostech, jak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 xml:space="preserve">ými jsou 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>developersk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>é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projekt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>y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společnosti UBM, však </w:t>
      </w:r>
      <w:r w:rsidR="008830E0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přesto </w:t>
      </w:r>
      <w:r w:rsidR="00260A60" w:rsidRPr="005A1444">
        <w:rPr>
          <w:rFonts w:ascii="Arial" w:hAnsi="Arial" w:cs="Arial"/>
          <w:color w:val="000000"/>
          <w:sz w:val="20"/>
          <w:szCs w:val="20"/>
          <w:lang w:val="cs-CZ"/>
        </w:rPr>
        <w:t>zůstane stabilní.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Očekává se, že </w:t>
      </w:r>
      <w:r w:rsidR="0099115D">
        <w:rPr>
          <w:rFonts w:ascii="Arial" w:hAnsi="Arial" w:cs="Arial"/>
          <w:color w:val="000000"/>
          <w:sz w:val="20"/>
          <w:szCs w:val="20"/>
          <w:lang w:val="cs-CZ"/>
        </w:rPr>
        <w:t xml:space="preserve">odložené zahájení výstavby 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a potíže, s nimiž se potýkají mnozí účastníci trhu, prohloubí 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>v</w:t>
      </w:r>
      <w:r w:rsidR="00FC6616">
        <w:rPr>
          <w:rFonts w:ascii="Arial" w:hAnsi="Arial" w:cs="Arial"/>
          <w:color w:val="000000"/>
          <w:sz w:val="20"/>
          <w:szCs w:val="20"/>
          <w:lang w:val="cs-CZ"/>
        </w:rPr>
        <w:t xml:space="preserve"> polovin</w:t>
      </w:r>
      <w:r w:rsidR="00E30560">
        <w:rPr>
          <w:rFonts w:ascii="Arial" w:hAnsi="Arial" w:cs="Arial"/>
          <w:color w:val="000000"/>
          <w:sz w:val="20"/>
          <w:szCs w:val="20"/>
          <w:lang w:val="cs-CZ"/>
        </w:rPr>
        <w:t>ě</w:t>
      </w:r>
      <w:r w:rsidR="00FC6616">
        <w:rPr>
          <w:rFonts w:ascii="Arial" w:hAnsi="Arial" w:cs="Arial"/>
          <w:color w:val="000000"/>
          <w:sz w:val="20"/>
          <w:szCs w:val="20"/>
          <w:lang w:val="cs-CZ"/>
        </w:rPr>
        <w:t xml:space="preserve"> roku mezeru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v nabídce, což dále zvýší tlak na </w:t>
      </w:r>
      <w:r w:rsidR="00FC6616">
        <w:rPr>
          <w:rFonts w:ascii="Arial" w:hAnsi="Arial" w:cs="Arial"/>
          <w:color w:val="000000"/>
          <w:sz w:val="20"/>
          <w:szCs w:val="20"/>
          <w:lang w:val="cs-CZ"/>
        </w:rPr>
        <w:t>řadu</w:t>
      </w:r>
      <w:r w:rsidR="00025142" w:rsidRPr="005A1444">
        <w:rPr>
          <w:rFonts w:ascii="Arial" w:hAnsi="Arial" w:cs="Arial"/>
          <w:color w:val="000000"/>
          <w:sz w:val="20"/>
          <w:szCs w:val="20"/>
          <w:lang w:val="cs-CZ"/>
        </w:rPr>
        <w:t xml:space="preserve"> investorů. Vzhledem k nestálému a nepředvídatelnému vývoji na trhu se UBM musí v současné době zdržet vydávání jakýchkoli pokynů pro finanční rok 2023.</w:t>
      </w:r>
    </w:p>
    <w:p w14:paraId="6AB21C8C" w14:textId="77777777" w:rsidR="005E1FC2" w:rsidRPr="005A1444" w:rsidRDefault="005E1FC2" w:rsidP="00763529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05393EF6" w14:textId="77777777" w:rsidR="00831FAB" w:rsidRDefault="00831FAB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</w:p>
    <w:p w14:paraId="2D1BB98B" w14:textId="39C6833A" w:rsidR="00025142" w:rsidRDefault="00025142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UBM Development je jedním z předních </w:t>
      </w:r>
      <w:r w:rsidR="00E30560">
        <w:rPr>
          <w:rFonts w:ascii="Arial" w:hAnsi="Arial" w:cs="Arial"/>
          <w:color w:val="000000"/>
          <w:sz w:val="18"/>
          <w:szCs w:val="18"/>
          <w:lang w:val="cs-CZ"/>
        </w:rPr>
        <w:t xml:space="preserve">evropských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developerů dřevostaveb. Strategick</w:t>
      </w:r>
      <w:r w:rsidR="006C719B"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y se zaměřuje na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zelené budovy a chytré kanceláře v</w:t>
      </w:r>
      <w:r w:rsidR="00E30560">
        <w:rPr>
          <w:rFonts w:ascii="Arial" w:hAnsi="Arial" w:cs="Arial"/>
          <w:color w:val="000000"/>
          <w:sz w:val="18"/>
          <w:szCs w:val="18"/>
          <w:lang w:val="cs-CZ"/>
        </w:rPr>
        <w:t xml:space="preserve"> metropolích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, jako je Vídeň, Mnichov, Frankfurt nebo Praha. Platinové hodnocení od</w:t>
      </w:r>
      <w:r w:rsidR="00831FAB">
        <w:rPr>
          <w:rFonts w:ascii="Arial" w:hAnsi="Arial" w:cs="Arial"/>
          <w:color w:val="000000"/>
          <w:sz w:val="18"/>
          <w:szCs w:val="18"/>
          <w:lang w:val="cs-CZ"/>
        </w:rPr>
        <w:t> </w:t>
      </w:r>
      <w:r w:rsidR="004A09FD">
        <w:rPr>
          <w:rFonts w:ascii="Arial" w:hAnsi="Arial" w:cs="Arial"/>
          <w:color w:val="000000"/>
          <w:sz w:val="18"/>
          <w:szCs w:val="18"/>
          <w:lang w:val="cs-CZ"/>
        </w:rPr>
        <w:t xml:space="preserve">agentury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EcoVadis a </w:t>
      </w:r>
      <w:r w:rsidR="00645437">
        <w:rPr>
          <w:rFonts w:ascii="Arial" w:hAnsi="Arial" w:cs="Arial"/>
          <w:color w:val="000000"/>
          <w:sz w:val="18"/>
          <w:szCs w:val="18"/>
          <w:lang w:val="cs-CZ"/>
        </w:rPr>
        <w:t xml:space="preserve">ocenění „Prime Status“ od ratingové agentury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ISS ESG </w:t>
      </w:r>
      <w:r w:rsidR="00645437">
        <w:rPr>
          <w:rFonts w:ascii="Arial" w:hAnsi="Arial" w:cs="Arial"/>
          <w:color w:val="000000"/>
          <w:sz w:val="18"/>
          <w:szCs w:val="18"/>
          <w:lang w:val="cs-CZ"/>
        </w:rPr>
        <w:t>jsou důkazem</w:t>
      </w:r>
      <w:r w:rsidR="00E30560">
        <w:rPr>
          <w:rFonts w:ascii="Arial" w:hAnsi="Arial" w:cs="Arial"/>
          <w:color w:val="000000"/>
          <w:sz w:val="18"/>
          <w:szCs w:val="18"/>
          <w:lang w:val="cs-CZ"/>
        </w:rPr>
        <w:t xml:space="preserve">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trvalé</w:t>
      </w:r>
      <w:r w:rsidR="00645437">
        <w:rPr>
          <w:rFonts w:ascii="Arial" w:hAnsi="Arial" w:cs="Arial"/>
          <w:color w:val="000000"/>
          <w:sz w:val="18"/>
          <w:szCs w:val="18"/>
          <w:lang w:val="cs-CZ"/>
        </w:rPr>
        <w:t>ho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 zaměření </w:t>
      </w:r>
      <w:r w:rsidR="00E30560">
        <w:rPr>
          <w:rFonts w:ascii="Arial" w:hAnsi="Arial" w:cs="Arial"/>
          <w:color w:val="000000"/>
          <w:sz w:val="18"/>
          <w:szCs w:val="18"/>
          <w:lang w:val="cs-CZ"/>
        </w:rPr>
        <w:t xml:space="preserve">UBM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na</w:t>
      </w:r>
      <w:r w:rsidR="00645437">
        <w:rPr>
          <w:rFonts w:ascii="Arial" w:hAnsi="Arial" w:cs="Arial"/>
          <w:color w:val="000000"/>
          <w:sz w:val="18"/>
          <w:szCs w:val="18"/>
          <w:lang w:val="cs-CZ"/>
        </w:rPr>
        <w:t> 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udržitelnost. </w:t>
      </w:r>
      <w:r w:rsidR="006C719B"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Na základě </w:t>
      </w:r>
      <w:r w:rsidR="00E30560">
        <w:rPr>
          <w:rFonts w:ascii="Arial" w:hAnsi="Arial" w:cs="Arial"/>
          <w:color w:val="000000"/>
          <w:sz w:val="18"/>
          <w:szCs w:val="18"/>
          <w:lang w:val="cs-CZ"/>
        </w:rPr>
        <w:t>svých 150 let</w:t>
      </w:r>
      <w:r w:rsidR="006C719B"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 zkušeností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nabízí </w:t>
      </w:r>
      <w:r w:rsidR="00E30560"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UBM </w:t>
      </w:r>
      <w:r w:rsidR="006C719B"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kompletní developerské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služby z jed</w:t>
      </w:r>
      <w:r w:rsidR="006C719B" w:rsidRPr="005A1444">
        <w:rPr>
          <w:rFonts w:ascii="Arial" w:hAnsi="Arial" w:cs="Arial"/>
          <w:color w:val="000000"/>
          <w:sz w:val="18"/>
          <w:szCs w:val="18"/>
          <w:lang w:val="cs-CZ"/>
        </w:rPr>
        <w:t>iného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 zdroje, od plánování </w:t>
      </w:r>
      <w:r w:rsidR="00645437">
        <w:rPr>
          <w:rFonts w:ascii="Arial" w:hAnsi="Arial" w:cs="Arial"/>
          <w:color w:val="000000"/>
          <w:sz w:val="18"/>
          <w:szCs w:val="18"/>
          <w:lang w:val="cs-CZ"/>
        </w:rPr>
        <w:t xml:space="preserve">projektů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až po </w:t>
      </w:r>
      <w:r w:rsidR="00645437">
        <w:rPr>
          <w:rFonts w:ascii="Arial" w:hAnsi="Arial" w:cs="Arial"/>
          <w:color w:val="000000"/>
          <w:sz w:val="18"/>
          <w:szCs w:val="18"/>
          <w:lang w:val="cs-CZ"/>
        </w:rPr>
        <w:t>jejich prodej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. Akcie společnosti jsou kotovány na </w:t>
      </w:r>
      <w:r w:rsidR="00732DF5" w:rsidRPr="00831FAB">
        <w:rPr>
          <w:rFonts w:ascii="Arial" w:hAnsi="Arial" w:cs="Arial"/>
          <w:color w:val="000000"/>
          <w:sz w:val="18"/>
          <w:szCs w:val="18"/>
          <w:lang w:val="cs-CZ"/>
        </w:rPr>
        <w:t>vídeňské burze, Prime Market of the Vienna Stock Exchange,</w:t>
      </w:r>
      <w:r w:rsidR="00732DF5" w:rsidRPr="00121125">
        <w:rPr>
          <w:rFonts w:ascii="Arial" w:eastAsia="Arial" w:hAnsi="Arial" w:cs="Arial"/>
          <w:color w:val="000000" w:themeColor="text1"/>
          <w:lang w:val="cs-CZ"/>
        </w:rPr>
        <w:t xml:space="preserve"> </w:t>
      </w:r>
      <w:r w:rsidR="00E30560">
        <w:rPr>
          <w:rFonts w:ascii="Arial" w:hAnsi="Arial" w:cs="Arial"/>
          <w:color w:val="000000"/>
          <w:sz w:val="18"/>
          <w:szCs w:val="18"/>
          <w:lang w:val="cs-CZ"/>
        </w:rPr>
        <w:t xml:space="preserve">v 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segmentu s nejvyššími požadavky na transparentnost.</w:t>
      </w:r>
    </w:p>
    <w:p w14:paraId="20BE5E62" w14:textId="77777777" w:rsidR="00732DF5" w:rsidRDefault="00732DF5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</w:p>
    <w:p w14:paraId="43066370" w14:textId="77777777" w:rsidR="00831FAB" w:rsidRDefault="00831FAB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</w:p>
    <w:p w14:paraId="726EF473" w14:textId="77777777" w:rsidR="00831FAB" w:rsidRDefault="007C6D21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Odkaz na tiskovou zprávu v angličtině zde: </w:t>
      </w:r>
    </w:p>
    <w:p w14:paraId="39783B80" w14:textId="0504D948" w:rsidR="00831FAB" w:rsidRPr="000D611B" w:rsidRDefault="000D611B" w:rsidP="00763529">
      <w:pPr>
        <w:jc w:val="both"/>
        <w:rPr>
          <w:rStyle w:val="Hypertextovodkaz"/>
          <w:rFonts w:ascii="Arial" w:hAnsi="Arial" w:cs="Arial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fldChar w:fldCharType="begin"/>
      </w:r>
      <w:r>
        <w:rPr>
          <w:rFonts w:ascii="Arial" w:hAnsi="Arial" w:cs="Arial"/>
          <w:color w:val="000000"/>
          <w:sz w:val="18"/>
          <w:szCs w:val="18"/>
          <w:lang w:val="cs-CZ"/>
        </w:rPr>
        <w:instrText xml:space="preserve"> HYPERLINK "https://www.ubm-development.com/press/ubm-development-confirms-earnings-and-strong-balance-sheet/" </w:instrText>
      </w:r>
      <w:r>
        <w:rPr>
          <w:rFonts w:ascii="Arial" w:hAnsi="Arial" w:cs="Arial"/>
          <w:color w:val="000000"/>
          <w:sz w:val="18"/>
          <w:szCs w:val="18"/>
          <w:lang w:val="cs-CZ"/>
        </w:rPr>
      </w:r>
      <w:r>
        <w:rPr>
          <w:rFonts w:ascii="Arial" w:hAnsi="Arial" w:cs="Arial"/>
          <w:color w:val="000000"/>
          <w:sz w:val="18"/>
          <w:szCs w:val="18"/>
          <w:lang w:val="cs-CZ"/>
        </w:rPr>
        <w:fldChar w:fldCharType="separate"/>
      </w:r>
      <w:r w:rsidR="007C6D21" w:rsidRPr="000D611B">
        <w:rPr>
          <w:rStyle w:val="Hypertextovodkaz"/>
          <w:rFonts w:ascii="Arial" w:hAnsi="Arial" w:cs="Arial"/>
          <w:sz w:val="18"/>
          <w:szCs w:val="18"/>
          <w:lang w:val="cs-CZ"/>
        </w:rPr>
        <w:t>UBM Development confirms earnings and strong balance sheet | UBM Intranet (ubm-portal.com)</w:t>
      </w:r>
    </w:p>
    <w:p w14:paraId="3A705881" w14:textId="6076B419" w:rsidR="00831FAB" w:rsidRPr="005A1444" w:rsidRDefault="000D611B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fldChar w:fldCharType="end"/>
      </w:r>
    </w:p>
    <w:p w14:paraId="7535754C" w14:textId="77777777" w:rsidR="005E1FC2" w:rsidRPr="005A1444" w:rsidRDefault="005E1FC2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</w:p>
    <w:p w14:paraId="4F69D8A9" w14:textId="217251A3" w:rsidR="005E1FC2" w:rsidRPr="005A1444" w:rsidRDefault="006C719B" w:rsidP="005E1FC2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cs-CZ"/>
        </w:rPr>
      </w:pPr>
      <w:r w:rsidRPr="005A1444">
        <w:rPr>
          <w:rFonts w:ascii="Arial" w:hAnsi="Arial" w:cs="Arial"/>
          <w:b/>
          <w:bCs/>
          <w:color w:val="000000"/>
          <w:sz w:val="18"/>
          <w:szCs w:val="18"/>
          <w:lang w:val="cs-CZ"/>
        </w:rPr>
        <w:t>Pro další informace kontaktujte:</w:t>
      </w:r>
    </w:p>
    <w:p w14:paraId="2AA998CC" w14:textId="77777777" w:rsidR="005E1FC2" w:rsidRPr="005A1444" w:rsidRDefault="005E1FC2" w:rsidP="005E1FC2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 w:rsidRPr="005A1444">
        <w:rPr>
          <w:rFonts w:ascii="Arial" w:hAnsi="Arial" w:cs="Arial"/>
          <w:color w:val="000000"/>
          <w:sz w:val="18"/>
          <w:szCs w:val="18"/>
          <w:lang w:val="cs-CZ"/>
        </w:rPr>
        <w:t>UBM Development AG</w:t>
      </w:r>
    </w:p>
    <w:p w14:paraId="475795F0" w14:textId="77777777" w:rsidR="005E1FC2" w:rsidRPr="005A1444" w:rsidRDefault="005E1FC2" w:rsidP="005E1FC2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 w:rsidRPr="005A1444">
        <w:rPr>
          <w:rFonts w:ascii="Arial" w:hAnsi="Arial" w:cs="Arial"/>
          <w:color w:val="000000"/>
          <w:sz w:val="18"/>
          <w:szCs w:val="18"/>
          <w:lang w:val="cs-CZ"/>
        </w:rPr>
        <w:t>Christoph Rainer</w:t>
      </w:r>
    </w:p>
    <w:p w14:paraId="061FEB23" w14:textId="77777777" w:rsidR="005E1FC2" w:rsidRPr="005A1444" w:rsidRDefault="005E1FC2" w:rsidP="005E1FC2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 w:rsidRPr="005A1444">
        <w:rPr>
          <w:rFonts w:ascii="Arial" w:hAnsi="Arial" w:cs="Arial"/>
          <w:color w:val="000000"/>
          <w:sz w:val="18"/>
          <w:szCs w:val="18"/>
          <w:lang w:val="cs-CZ"/>
        </w:rPr>
        <w:t>Head of Investor Relations &amp; ESG</w:t>
      </w:r>
    </w:p>
    <w:p w14:paraId="118C541E" w14:textId="49BCF1B3" w:rsidR="005E1FC2" w:rsidRPr="005A1444" w:rsidRDefault="005E1FC2" w:rsidP="005E1FC2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 w:rsidRPr="005A1444">
        <w:rPr>
          <w:rFonts w:ascii="Arial" w:hAnsi="Arial" w:cs="Arial"/>
          <w:color w:val="000000"/>
          <w:sz w:val="18"/>
          <w:szCs w:val="18"/>
          <w:lang w:val="cs-CZ"/>
        </w:rPr>
        <w:t>Mob</w:t>
      </w:r>
      <w:r w:rsidR="00184590">
        <w:rPr>
          <w:rFonts w:ascii="Arial" w:hAnsi="Arial" w:cs="Arial"/>
          <w:color w:val="000000"/>
          <w:sz w:val="18"/>
          <w:szCs w:val="18"/>
          <w:lang w:val="cs-CZ"/>
        </w:rPr>
        <w:t>il</w:t>
      </w:r>
      <w:r w:rsidRPr="005A1444">
        <w:rPr>
          <w:rFonts w:ascii="Arial" w:hAnsi="Arial" w:cs="Arial"/>
          <w:color w:val="000000"/>
          <w:sz w:val="18"/>
          <w:szCs w:val="18"/>
          <w:lang w:val="cs-CZ"/>
        </w:rPr>
        <w:t>.: + 43 664 80 1873 200</w:t>
      </w:r>
    </w:p>
    <w:p w14:paraId="4F83B16E" w14:textId="0156A2E8" w:rsidR="005E1FC2" w:rsidRPr="005A1444" w:rsidRDefault="005E1FC2" w:rsidP="005E1FC2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  <w:r w:rsidRPr="005A1444">
        <w:rPr>
          <w:rFonts w:ascii="Arial" w:hAnsi="Arial" w:cs="Arial"/>
          <w:color w:val="000000"/>
          <w:sz w:val="18"/>
          <w:szCs w:val="18"/>
          <w:lang w:val="cs-CZ"/>
        </w:rPr>
        <w:t xml:space="preserve">Email: </w:t>
      </w:r>
      <w:hyperlink r:id="rId10" w:history="1">
        <w:r w:rsidRPr="005A1444">
          <w:rPr>
            <w:rFonts w:ascii="Arial" w:hAnsi="Arial" w:cs="Arial"/>
            <w:color w:val="000000"/>
            <w:sz w:val="18"/>
            <w:szCs w:val="18"/>
            <w:lang w:val="cs-CZ"/>
          </w:rPr>
          <w:t>christoph.rainer@ubm-development.com</w:t>
        </w:r>
      </w:hyperlink>
    </w:p>
    <w:p w14:paraId="5798B966" w14:textId="77777777" w:rsidR="005E1FC2" w:rsidRPr="005A1444" w:rsidRDefault="005E1FC2" w:rsidP="00763529">
      <w:pPr>
        <w:jc w:val="both"/>
        <w:rPr>
          <w:rFonts w:ascii="Arial" w:hAnsi="Arial" w:cs="Arial"/>
          <w:color w:val="000000"/>
          <w:sz w:val="18"/>
          <w:szCs w:val="18"/>
          <w:lang w:val="cs-CZ"/>
        </w:rPr>
      </w:pPr>
    </w:p>
    <w:p w14:paraId="2B802B39" w14:textId="77777777" w:rsidR="005E1FC2" w:rsidRPr="005A1444" w:rsidRDefault="005E1FC2" w:rsidP="00763529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782EC569" w14:textId="6D95621D" w:rsidR="005E1FC2" w:rsidRPr="005A1444" w:rsidRDefault="005E1FC2">
      <w:pPr>
        <w:spacing w:after="160" w:line="259" w:lineRule="auto"/>
        <w:rPr>
          <w:rFonts w:ascii="Arial" w:hAnsi="Arial" w:cs="Arial"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color w:val="000000"/>
          <w:sz w:val="20"/>
          <w:szCs w:val="20"/>
          <w:lang w:val="cs-CZ"/>
        </w:rPr>
        <w:br w:type="page"/>
      </w:r>
    </w:p>
    <w:p w14:paraId="2A2FC8A7" w14:textId="16EA62DA" w:rsidR="005E1FC2" w:rsidRPr="005A1444" w:rsidRDefault="005E1FC2" w:rsidP="005E1FC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  <w:r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lastRenderedPageBreak/>
        <w:t>K</w:t>
      </w:r>
      <w:r w:rsidR="008D12DC"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líčové výkon</w:t>
      </w:r>
      <w:r w:rsidR="00645437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>nostní</w:t>
      </w:r>
      <w:r w:rsidR="008D12DC" w:rsidRPr="005A1444">
        <w:rPr>
          <w:rFonts w:ascii="Arial" w:hAnsi="Arial" w:cs="Arial"/>
          <w:b/>
          <w:bCs/>
          <w:color w:val="000000"/>
          <w:sz w:val="20"/>
          <w:szCs w:val="20"/>
          <w:lang w:val="cs-CZ"/>
        </w:rPr>
        <w:t xml:space="preserve"> ukazatele za rok 2022</w:t>
      </w:r>
    </w:p>
    <w:p w14:paraId="06318969" w14:textId="77777777" w:rsidR="005E1FC2" w:rsidRPr="005A1444" w:rsidRDefault="005E1FC2" w:rsidP="005E1FC2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cs-CZ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1683"/>
        <w:gridCol w:w="1683"/>
        <w:gridCol w:w="1676"/>
        <w:gridCol w:w="1655"/>
      </w:tblGrid>
      <w:tr w:rsidR="005E1FC2" w:rsidRPr="005A1444" w14:paraId="4E15FEF2" w14:textId="77777777" w:rsidTr="009826E7">
        <w:trPr>
          <w:trHeight w:val="291"/>
        </w:trPr>
        <w:tc>
          <w:tcPr>
            <w:tcW w:w="2659" w:type="dxa"/>
            <w:vAlign w:val="center"/>
          </w:tcPr>
          <w:p w14:paraId="35713359" w14:textId="60100C76" w:rsidR="005E1FC2" w:rsidRPr="005A1444" w:rsidRDefault="005E1FC2" w:rsidP="009826E7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bookmarkStart w:id="0" w:name="_Hlk69988696"/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K</w:t>
            </w:r>
            <w:r w:rsidR="00C41063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líčové údaje o příjmech</w:t>
            </w: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5A144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>(</w:t>
            </w:r>
            <w:r w:rsidR="00645437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 xml:space="preserve">v </w:t>
            </w:r>
            <w:r w:rsidR="008D12DC" w:rsidRPr="005A144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>mil. eur</w:t>
            </w:r>
            <w:r w:rsidRPr="005A144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2CBABA2" w14:textId="498614E5" w:rsidR="005E1FC2" w:rsidRPr="005A1444" w:rsidRDefault="005E1FC2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2022</w:t>
            </w:r>
          </w:p>
        </w:tc>
        <w:tc>
          <w:tcPr>
            <w:tcW w:w="1683" w:type="dxa"/>
            <w:vAlign w:val="center"/>
          </w:tcPr>
          <w:p w14:paraId="6A843892" w14:textId="1F03D2ED" w:rsidR="005E1FC2" w:rsidRPr="005A1444" w:rsidRDefault="005E1FC2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2021</w:t>
            </w:r>
          </w:p>
        </w:tc>
        <w:tc>
          <w:tcPr>
            <w:tcW w:w="1676" w:type="dxa"/>
            <w:vAlign w:val="center"/>
          </w:tcPr>
          <w:p w14:paraId="6D7B2742" w14:textId="7FF8EA8F" w:rsidR="005E1FC2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Změna</w:t>
            </w:r>
            <w:r w:rsidR="005E1FC2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 xml:space="preserve"> 22/21</w:t>
            </w:r>
          </w:p>
        </w:tc>
        <w:tc>
          <w:tcPr>
            <w:tcW w:w="1655" w:type="dxa"/>
            <w:vAlign w:val="center"/>
          </w:tcPr>
          <w:p w14:paraId="289DF03C" w14:textId="3EDB3445" w:rsidR="005E1FC2" w:rsidRPr="005A1444" w:rsidRDefault="005E1FC2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2020</w:t>
            </w:r>
          </w:p>
        </w:tc>
      </w:tr>
      <w:tr w:rsidR="0068756D" w:rsidRPr="005A1444" w14:paraId="4876253F" w14:textId="77777777" w:rsidTr="009826E7">
        <w:trPr>
          <w:trHeight w:val="310"/>
        </w:trPr>
        <w:tc>
          <w:tcPr>
            <w:tcW w:w="2659" w:type="dxa"/>
            <w:vAlign w:val="center"/>
          </w:tcPr>
          <w:p w14:paraId="3CE258E4" w14:textId="0594ED8A" w:rsidR="0068756D" w:rsidRPr="005A1444" w:rsidRDefault="001A0142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Celkový výkon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1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278E789" w14:textId="4B94EE4C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390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7</w:t>
            </w:r>
          </w:p>
        </w:tc>
        <w:tc>
          <w:tcPr>
            <w:tcW w:w="1683" w:type="dxa"/>
            <w:vAlign w:val="center"/>
          </w:tcPr>
          <w:p w14:paraId="03576244" w14:textId="6C0918A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471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0</w:t>
            </w:r>
          </w:p>
        </w:tc>
        <w:tc>
          <w:tcPr>
            <w:tcW w:w="1676" w:type="dxa"/>
            <w:vAlign w:val="center"/>
          </w:tcPr>
          <w:p w14:paraId="4A6188F8" w14:textId="7CE0F070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-17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0%</w:t>
            </w:r>
          </w:p>
        </w:tc>
        <w:tc>
          <w:tcPr>
            <w:tcW w:w="1655" w:type="dxa"/>
            <w:vAlign w:val="center"/>
          </w:tcPr>
          <w:p w14:paraId="1AD069C3" w14:textId="0DE4BB82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478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6</w:t>
            </w:r>
          </w:p>
        </w:tc>
      </w:tr>
      <w:tr w:rsidR="0068756D" w:rsidRPr="005A1444" w14:paraId="0DA6CC35" w14:textId="77777777" w:rsidTr="009826E7">
        <w:trPr>
          <w:trHeight w:val="310"/>
        </w:trPr>
        <w:tc>
          <w:tcPr>
            <w:tcW w:w="2659" w:type="dxa"/>
            <w:vAlign w:val="center"/>
          </w:tcPr>
          <w:p w14:paraId="777FBFB2" w14:textId="0E3CC7A3" w:rsidR="0068756D" w:rsidRPr="005A1444" w:rsidRDefault="006427F9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Příjmy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7AE9F962" w14:textId="0894711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133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9</w:t>
            </w:r>
          </w:p>
        </w:tc>
        <w:tc>
          <w:tcPr>
            <w:tcW w:w="1683" w:type="dxa"/>
            <w:vAlign w:val="center"/>
          </w:tcPr>
          <w:p w14:paraId="7D113031" w14:textId="7B7BA4C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278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</w:t>
            </w:r>
          </w:p>
        </w:tc>
        <w:tc>
          <w:tcPr>
            <w:tcW w:w="1676" w:type="dxa"/>
            <w:vAlign w:val="center"/>
          </w:tcPr>
          <w:p w14:paraId="1772B0EE" w14:textId="6A41A7A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-51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9%</w:t>
            </w:r>
          </w:p>
        </w:tc>
        <w:tc>
          <w:tcPr>
            <w:tcW w:w="1655" w:type="dxa"/>
            <w:vAlign w:val="center"/>
          </w:tcPr>
          <w:p w14:paraId="25FA47F2" w14:textId="08948630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183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</w:p>
        </w:tc>
      </w:tr>
      <w:tr w:rsidR="0068756D" w:rsidRPr="005A1444" w14:paraId="28A557FD" w14:textId="77777777" w:rsidTr="009826E7">
        <w:trPr>
          <w:trHeight w:val="310"/>
        </w:trPr>
        <w:tc>
          <w:tcPr>
            <w:tcW w:w="2659" w:type="dxa"/>
            <w:vAlign w:val="center"/>
          </w:tcPr>
          <w:p w14:paraId="52F4D70F" w14:textId="5D7EE50E" w:rsidR="0068756D" w:rsidRPr="005A1444" w:rsidRDefault="001A0142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Zisk před zdaněním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15EB3112" w14:textId="43A1A31C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</w:t>
            </w:r>
          </w:p>
        </w:tc>
        <w:tc>
          <w:tcPr>
            <w:tcW w:w="1683" w:type="dxa"/>
            <w:vAlign w:val="center"/>
          </w:tcPr>
          <w:p w14:paraId="7AC6321D" w14:textId="0480192E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60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</w:t>
            </w:r>
          </w:p>
        </w:tc>
        <w:tc>
          <w:tcPr>
            <w:tcW w:w="1676" w:type="dxa"/>
            <w:vAlign w:val="center"/>
          </w:tcPr>
          <w:p w14:paraId="207D73AE" w14:textId="1ADF26B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-47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6%</w:t>
            </w:r>
          </w:p>
        </w:tc>
        <w:tc>
          <w:tcPr>
            <w:tcW w:w="1655" w:type="dxa"/>
            <w:vAlign w:val="center"/>
          </w:tcPr>
          <w:p w14:paraId="07CB987B" w14:textId="24366CEA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62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3</w:t>
            </w:r>
          </w:p>
        </w:tc>
      </w:tr>
      <w:tr w:rsidR="0068756D" w:rsidRPr="005A1444" w14:paraId="0F2D61C6" w14:textId="77777777" w:rsidTr="009826E7">
        <w:trPr>
          <w:trHeight w:val="310"/>
        </w:trPr>
        <w:tc>
          <w:tcPr>
            <w:tcW w:w="2659" w:type="dxa"/>
            <w:vAlign w:val="center"/>
          </w:tcPr>
          <w:p w14:paraId="6A2D4C51" w14:textId="1D3D2AD6" w:rsidR="0068756D" w:rsidRPr="005A1444" w:rsidRDefault="001A0142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Čistý zisk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66D59D3C" w14:textId="43F9DBDB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27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</w:t>
            </w:r>
          </w:p>
        </w:tc>
        <w:tc>
          <w:tcPr>
            <w:tcW w:w="1683" w:type="dxa"/>
            <w:vAlign w:val="center"/>
          </w:tcPr>
          <w:p w14:paraId="2BFDF086" w14:textId="7CBD6F0D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43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7</w:t>
            </w:r>
          </w:p>
        </w:tc>
        <w:tc>
          <w:tcPr>
            <w:tcW w:w="1676" w:type="dxa"/>
            <w:vAlign w:val="center"/>
          </w:tcPr>
          <w:p w14:paraId="48010378" w14:textId="43C66C0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-38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0%</w:t>
            </w:r>
          </w:p>
        </w:tc>
        <w:tc>
          <w:tcPr>
            <w:tcW w:w="1655" w:type="dxa"/>
            <w:vAlign w:val="center"/>
          </w:tcPr>
          <w:p w14:paraId="69EEF4AC" w14:textId="3942A303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40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8</w:t>
            </w:r>
          </w:p>
        </w:tc>
      </w:tr>
      <w:tr w:rsidR="0068756D" w:rsidRPr="005A1444" w14:paraId="04BC210E" w14:textId="77777777" w:rsidTr="009826E7">
        <w:trPr>
          <w:trHeight w:val="131"/>
        </w:trPr>
        <w:tc>
          <w:tcPr>
            <w:tcW w:w="2659" w:type="dxa"/>
            <w:vAlign w:val="center"/>
          </w:tcPr>
          <w:p w14:paraId="5B0CA2FF" w14:textId="77777777" w:rsidR="0068756D" w:rsidRPr="005A1444" w:rsidRDefault="0068756D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6"/>
                <w:szCs w:val="6"/>
                <w:lang w:val="cs-CZ"/>
              </w:rPr>
            </w:pPr>
          </w:p>
        </w:tc>
        <w:tc>
          <w:tcPr>
            <w:tcW w:w="1683" w:type="dxa"/>
            <w:shd w:val="clear" w:color="auto" w:fill="D9D9D9"/>
            <w:vAlign w:val="center"/>
          </w:tcPr>
          <w:p w14:paraId="0ED60813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vAlign w:val="center"/>
          </w:tcPr>
          <w:p w14:paraId="440088E9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676" w:type="dxa"/>
            <w:vAlign w:val="center"/>
          </w:tcPr>
          <w:p w14:paraId="63911B79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  <w:tc>
          <w:tcPr>
            <w:tcW w:w="1655" w:type="dxa"/>
            <w:vAlign w:val="center"/>
          </w:tcPr>
          <w:p w14:paraId="50D7E013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sz w:val="18"/>
                <w:szCs w:val="18"/>
                <w:lang w:val="cs-CZ"/>
              </w:rPr>
            </w:pPr>
          </w:p>
        </w:tc>
      </w:tr>
      <w:tr w:rsidR="0068756D" w:rsidRPr="005A1444" w14:paraId="6A9C9A4D" w14:textId="77777777" w:rsidTr="009826E7">
        <w:trPr>
          <w:trHeight w:val="288"/>
        </w:trPr>
        <w:tc>
          <w:tcPr>
            <w:tcW w:w="2659" w:type="dxa"/>
            <w:vAlign w:val="center"/>
          </w:tcPr>
          <w:p w14:paraId="404CDBFF" w14:textId="3EAE1C0E" w:rsidR="0068756D" w:rsidRPr="005A1444" w:rsidRDefault="0068756D" w:rsidP="0068756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K</w:t>
            </w:r>
            <w:r w:rsidR="001A0142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 xml:space="preserve">líčové údaje o majetku </w:t>
            </w:r>
            <w:r w:rsidR="00165E9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 xml:space="preserve">     </w:t>
            </w:r>
            <w:r w:rsidR="001A0142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a financích</w:t>
            </w: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 xml:space="preserve"> </w:t>
            </w:r>
            <w:r w:rsidRPr="005A144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>(</w:t>
            </w:r>
            <w:r w:rsidR="005F487D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 xml:space="preserve">v </w:t>
            </w:r>
            <w:r w:rsidR="008D12DC" w:rsidRPr="005A144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>mil. eur</w:t>
            </w:r>
            <w:r w:rsidRPr="005A1444"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FA08B2B" w14:textId="035E42E3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31.12.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2022</w:t>
            </w:r>
          </w:p>
        </w:tc>
        <w:tc>
          <w:tcPr>
            <w:tcW w:w="1683" w:type="dxa"/>
            <w:vAlign w:val="center"/>
          </w:tcPr>
          <w:p w14:paraId="2D07E00A" w14:textId="63C19FB6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31.12.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2021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8</w:t>
            </w:r>
          </w:p>
        </w:tc>
        <w:tc>
          <w:tcPr>
            <w:tcW w:w="1676" w:type="dxa"/>
            <w:vAlign w:val="center"/>
          </w:tcPr>
          <w:p w14:paraId="222ABD4C" w14:textId="6776815C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Změna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 xml:space="preserve"> 22/21</w:t>
            </w:r>
          </w:p>
        </w:tc>
        <w:tc>
          <w:tcPr>
            <w:tcW w:w="1655" w:type="dxa"/>
            <w:vAlign w:val="center"/>
          </w:tcPr>
          <w:p w14:paraId="5CACC208" w14:textId="58E387D5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31.12.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2020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8</w:t>
            </w:r>
          </w:p>
        </w:tc>
      </w:tr>
      <w:tr w:rsidR="0068756D" w:rsidRPr="005A1444" w14:paraId="73FA4935" w14:textId="77777777" w:rsidTr="009826E7">
        <w:trPr>
          <w:trHeight w:val="308"/>
        </w:trPr>
        <w:tc>
          <w:tcPr>
            <w:tcW w:w="2659" w:type="dxa"/>
            <w:vAlign w:val="center"/>
          </w:tcPr>
          <w:p w14:paraId="14D85D4F" w14:textId="0891A7F4" w:rsidR="0068756D" w:rsidRPr="005A1444" w:rsidRDefault="001A0142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Celková aktiva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4B80514D" w14:textId="05467F35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1,451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8</w:t>
            </w:r>
          </w:p>
        </w:tc>
        <w:tc>
          <w:tcPr>
            <w:tcW w:w="1683" w:type="dxa"/>
            <w:vAlign w:val="center"/>
          </w:tcPr>
          <w:p w14:paraId="14BBDA41" w14:textId="73D23A7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1,467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8</w:t>
            </w:r>
          </w:p>
        </w:tc>
        <w:tc>
          <w:tcPr>
            <w:tcW w:w="1676" w:type="dxa"/>
            <w:vAlign w:val="center"/>
          </w:tcPr>
          <w:p w14:paraId="05B0BCF1" w14:textId="63D8D6F8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-1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1%</w:t>
            </w:r>
          </w:p>
        </w:tc>
        <w:tc>
          <w:tcPr>
            <w:tcW w:w="1655" w:type="dxa"/>
            <w:vAlign w:val="center"/>
          </w:tcPr>
          <w:p w14:paraId="684D2E68" w14:textId="135B625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1,345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</w:t>
            </w:r>
          </w:p>
        </w:tc>
      </w:tr>
      <w:tr w:rsidR="0068756D" w:rsidRPr="005A1444" w14:paraId="638E4582" w14:textId="77777777" w:rsidTr="009826E7">
        <w:trPr>
          <w:trHeight w:val="308"/>
        </w:trPr>
        <w:tc>
          <w:tcPr>
            <w:tcW w:w="2659" w:type="dxa"/>
            <w:vAlign w:val="center"/>
          </w:tcPr>
          <w:p w14:paraId="63D77900" w14:textId="5A1234BC" w:rsidR="0068756D" w:rsidRPr="005A1444" w:rsidRDefault="001A0142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Vlastní kapitál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C49F3DA" w14:textId="7D57ED2C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501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</w:t>
            </w:r>
          </w:p>
        </w:tc>
        <w:tc>
          <w:tcPr>
            <w:tcW w:w="1683" w:type="dxa"/>
            <w:vAlign w:val="center"/>
          </w:tcPr>
          <w:p w14:paraId="1C1CDFE5" w14:textId="01FDA20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524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0</w:t>
            </w:r>
          </w:p>
        </w:tc>
        <w:tc>
          <w:tcPr>
            <w:tcW w:w="1676" w:type="dxa"/>
            <w:vAlign w:val="center"/>
          </w:tcPr>
          <w:p w14:paraId="1AC604AC" w14:textId="18A657A5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-4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3%</w:t>
            </w:r>
          </w:p>
        </w:tc>
        <w:tc>
          <w:tcPr>
            <w:tcW w:w="1655" w:type="dxa"/>
            <w:vAlign w:val="center"/>
          </w:tcPr>
          <w:p w14:paraId="39AE01F7" w14:textId="1906338B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456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</w:t>
            </w:r>
          </w:p>
        </w:tc>
      </w:tr>
      <w:tr w:rsidR="0068756D" w:rsidRPr="005A1444" w14:paraId="4889CAD6" w14:textId="77777777" w:rsidTr="009826E7">
        <w:trPr>
          <w:trHeight w:val="308"/>
        </w:trPr>
        <w:tc>
          <w:tcPr>
            <w:tcW w:w="2659" w:type="dxa"/>
            <w:vAlign w:val="center"/>
          </w:tcPr>
          <w:p w14:paraId="640D71D4" w14:textId="173EA577" w:rsidR="0068756D" w:rsidRPr="00165E99" w:rsidRDefault="00164FBB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cs-CZ"/>
              </w:rPr>
            </w:pPr>
            <w:r w:rsidRPr="00165E99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Poměr vlastního kapitálu </w:t>
            </w:r>
            <w:r w:rsidR="00165E99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 xml:space="preserve">          </w:t>
            </w:r>
            <w:r w:rsidRPr="00165E99">
              <w:rPr>
                <w:rFonts w:ascii="Arial" w:hAnsi="Arial" w:cs="Arial"/>
                <w:color w:val="000000"/>
                <w:sz w:val="18"/>
                <w:szCs w:val="18"/>
                <w:lang w:val="cs-CZ"/>
              </w:rPr>
              <w:t>a celkových aktiv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72D4B78A" w14:textId="39F75536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34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5%</w:t>
            </w:r>
          </w:p>
        </w:tc>
        <w:tc>
          <w:tcPr>
            <w:tcW w:w="1683" w:type="dxa"/>
            <w:vAlign w:val="center"/>
          </w:tcPr>
          <w:p w14:paraId="65922E0E" w14:textId="155BA53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35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7%</w:t>
            </w:r>
          </w:p>
        </w:tc>
        <w:tc>
          <w:tcPr>
            <w:tcW w:w="1676" w:type="dxa"/>
            <w:vAlign w:val="center"/>
          </w:tcPr>
          <w:p w14:paraId="33FDB1EB" w14:textId="15653E4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 PP</w:t>
            </w:r>
          </w:p>
        </w:tc>
        <w:tc>
          <w:tcPr>
            <w:tcW w:w="1655" w:type="dxa"/>
            <w:vAlign w:val="center"/>
          </w:tcPr>
          <w:p w14:paraId="269F4E41" w14:textId="279CA012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33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9%</w:t>
            </w:r>
          </w:p>
        </w:tc>
      </w:tr>
      <w:tr w:rsidR="0068756D" w:rsidRPr="005A1444" w14:paraId="000AB138" w14:textId="77777777" w:rsidTr="009826E7">
        <w:trPr>
          <w:trHeight w:val="308"/>
        </w:trPr>
        <w:tc>
          <w:tcPr>
            <w:tcW w:w="2659" w:type="dxa"/>
            <w:vAlign w:val="center"/>
          </w:tcPr>
          <w:p w14:paraId="6937488F" w14:textId="129085C3" w:rsidR="0068756D" w:rsidRPr="005A1444" w:rsidRDefault="00007160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Čistý dluh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2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08E78778" w14:textId="5972249E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500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</w:t>
            </w:r>
          </w:p>
        </w:tc>
        <w:tc>
          <w:tcPr>
            <w:tcW w:w="1683" w:type="dxa"/>
            <w:vAlign w:val="center"/>
          </w:tcPr>
          <w:p w14:paraId="3544C130" w14:textId="40BF2C00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381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0</w:t>
            </w:r>
          </w:p>
        </w:tc>
        <w:tc>
          <w:tcPr>
            <w:tcW w:w="1676" w:type="dxa"/>
            <w:vAlign w:val="center"/>
          </w:tcPr>
          <w:p w14:paraId="29B429ED" w14:textId="26BA12B9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3%</w:t>
            </w:r>
          </w:p>
        </w:tc>
        <w:tc>
          <w:tcPr>
            <w:tcW w:w="1655" w:type="dxa"/>
            <w:vAlign w:val="center"/>
          </w:tcPr>
          <w:p w14:paraId="7FB93A9E" w14:textId="340BB20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479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</w:t>
            </w:r>
          </w:p>
        </w:tc>
      </w:tr>
      <w:tr w:rsidR="0068756D" w:rsidRPr="005A1444" w14:paraId="7CA6086F" w14:textId="77777777" w:rsidTr="009826E7">
        <w:trPr>
          <w:trHeight w:val="308"/>
        </w:trPr>
        <w:tc>
          <w:tcPr>
            <w:tcW w:w="2659" w:type="dxa"/>
            <w:vAlign w:val="center"/>
          </w:tcPr>
          <w:p w14:paraId="353D6186" w14:textId="1577CA21" w:rsidR="0068756D" w:rsidRPr="005A1444" w:rsidRDefault="009762F2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Hotovost a peněžní ekvivalenty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0ED323A8" w14:textId="3B4C7BED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322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9</w:t>
            </w:r>
          </w:p>
        </w:tc>
        <w:tc>
          <w:tcPr>
            <w:tcW w:w="1683" w:type="dxa"/>
            <w:vAlign w:val="center"/>
          </w:tcPr>
          <w:p w14:paraId="550B9A34" w14:textId="7640AFC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423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</w:t>
            </w:r>
          </w:p>
        </w:tc>
        <w:tc>
          <w:tcPr>
            <w:tcW w:w="1676" w:type="dxa"/>
            <w:vAlign w:val="center"/>
          </w:tcPr>
          <w:p w14:paraId="3927A33E" w14:textId="7CD71BB9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-23</w:t>
            </w:r>
            <w:r w:rsidR="008D12DC" w:rsidRPr="005A1444">
              <w:rPr>
                <w:rFonts w:ascii="Arial" w:hAnsi="Arial" w:cs="Arial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sz w:val="18"/>
                <w:szCs w:val="18"/>
                <w:lang w:val="cs-CZ"/>
              </w:rPr>
              <w:t>7%</w:t>
            </w:r>
          </w:p>
        </w:tc>
        <w:tc>
          <w:tcPr>
            <w:tcW w:w="1655" w:type="dxa"/>
            <w:vAlign w:val="center"/>
          </w:tcPr>
          <w:p w14:paraId="40AE6002" w14:textId="7A933419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247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</w:t>
            </w:r>
          </w:p>
        </w:tc>
      </w:tr>
      <w:tr w:rsidR="0068756D" w:rsidRPr="005A1444" w14:paraId="3E5C2EB7" w14:textId="77777777" w:rsidTr="009826E7">
        <w:trPr>
          <w:trHeight w:val="143"/>
        </w:trPr>
        <w:tc>
          <w:tcPr>
            <w:tcW w:w="2659" w:type="dxa"/>
            <w:vAlign w:val="center"/>
          </w:tcPr>
          <w:p w14:paraId="089E971E" w14:textId="77777777" w:rsidR="0068756D" w:rsidRPr="005A1444" w:rsidRDefault="0068756D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6"/>
                <w:szCs w:val="6"/>
                <w:lang w:val="cs-CZ"/>
              </w:rPr>
            </w:pPr>
          </w:p>
        </w:tc>
        <w:tc>
          <w:tcPr>
            <w:tcW w:w="1683" w:type="dxa"/>
            <w:shd w:val="clear" w:color="auto" w:fill="D9D9D9"/>
            <w:vAlign w:val="center"/>
          </w:tcPr>
          <w:p w14:paraId="47181910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683" w:type="dxa"/>
            <w:vAlign w:val="center"/>
          </w:tcPr>
          <w:p w14:paraId="02865960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676" w:type="dxa"/>
            <w:vAlign w:val="center"/>
          </w:tcPr>
          <w:p w14:paraId="771F7430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  <w:tc>
          <w:tcPr>
            <w:tcW w:w="1655" w:type="dxa"/>
            <w:vAlign w:val="center"/>
          </w:tcPr>
          <w:p w14:paraId="0CB95E1D" w14:textId="7777777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</w:p>
        </w:tc>
      </w:tr>
      <w:tr w:rsidR="0068756D" w:rsidRPr="005A1444" w14:paraId="66C0A3F1" w14:textId="77777777" w:rsidTr="009826E7">
        <w:trPr>
          <w:trHeight w:val="286"/>
        </w:trPr>
        <w:tc>
          <w:tcPr>
            <w:tcW w:w="2659" w:type="dxa"/>
            <w:vAlign w:val="center"/>
          </w:tcPr>
          <w:p w14:paraId="7178F473" w14:textId="50F3EF74" w:rsidR="0068756D" w:rsidRPr="005A1444" w:rsidRDefault="0068756D" w:rsidP="0068756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K</w:t>
            </w:r>
            <w:r w:rsidR="009762F2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líčové údaje o akciích a zaměstnancích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4846D50A" w14:textId="1E8A9EA5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31.12.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2022</w:t>
            </w:r>
          </w:p>
        </w:tc>
        <w:tc>
          <w:tcPr>
            <w:tcW w:w="1683" w:type="dxa"/>
            <w:vAlign w:val="center"/>
          </w:tcPr>
          <w:p w14:paraId="6067C4CF" w14:textId="3E58E841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31.12.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2021</w:t>
            </w:r>
          </w:p>
        </w:tc>
        <w:tc>
          <w:tcPr>
            <w:tcW w:w="1676" w:type="dxa"/>
            <w:vAlign w:val="center"/>
          </w:tcPr>
          <w:p w14:paraId="07F633C9" w14:textId="62F8DC95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Změna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 xml:space="preserve"> 22/21</w:t>
            </w:r>
          </w:p>
        </w:tc>
        <w:tc>
          <w:tcPr>
            <w:tcW w:w="1655" w:type="dxa"/>
            <w:vAlign w:val="center"/>
          </w:tcPr>
          <w:p w14:paraId="0B2D5FCB" w14:textId="7860BE83" w:rsidR="0068756D" w:rsidRPr="005A1444" w:rsidRDefault="008D12DC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b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31.12.</w:t>
            </w:r>
            <w:r w:rsidR="0068756D" w:rsidRPr="005A1444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cs-CZ"/>
              </w:rPr>
              <w:t>2020</w:t>
            </w:r>
          </w:p>
        </w:tc>
      </w:tr>
      <w:tr w:rsidR="0068756D" w:rsidRPr="005A1444" w14:paraId="7AEB735C" w14:textId="77777777" w:rsidTr="009826E7">
        <w:trPr>
          <w:trHeight w:val="305"/>
        </w:trPr>
        <w:tc>
          <w:tcPr>
            <w:tcW w:w="2659" w:type="dxa"/>
            <w:vAlign w:val="center"/>
          </w:tcPr>
          <w:p w14:paraId="075E5368" w14:textId="4284E3AA" w:rsidR="0068756D" w:rsidRPr="005A1444" w:rsidRDefault="00247C75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Zisk na jednu akcii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eur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)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3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48B2841D" w14:textId="17A31A61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25</w:t>
            </w:r>
          </w:p>
        </w:tc>
        <w:tc>
          <w:tcPr>
            <w:tcW w:w="1683" w:type="dxa"/>
            <w:vAlign w:val="center"/>
          </w:tcPr>
          <w:p w14:paraId="03832362" w14:textId="621EC725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50</w:t>
            </w:r>
          </w:p>
        </w:tc>
        <w:tc>
          <w:tcPr>
            <w:tcW w:w="1676" w:type="dxa"/>
            <w:vAlign w:val="center"/>
          </w:tcPr>
          <w:p w14:paraId="58F107B8" w14:textId="6B54A3BC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-50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0%</w:t>
            </w:r>
          </w:p>
        </w:tc>
        <w:tc>
          <w:tcPr>
            <w:tcW w:w="1655" w:type="dxa"/>
            <w:vAlign w:val="center"/>
          </w:tcPr>
          <w:p w14:paraId="31C202A0" w14:textId="729C0BF0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39</w:t>
            </w:r>
          </w:p>
        </w:tc>
      </w:tr>
      <w:tr w:rsidR="0068756D" w:rsidRPr="005A1444" w14:paraId="7E59F5E6" w14:textId="77777777" w:rsidTr="009826E7">
        <w:trPr>
          <w:trHeight w:val="305"/>
        </w:trPr>
        <w:tc>
          <w:tcPr>
            <w:tcW w:w="2659" w:type="dxa"/>
            <w:vAlign w:val="center"/>
          </w:tcPr>
          <w:p w14:paraId="35B59C50" w14:textId="653AE3DE" w:rsidR="0068756D" w:rsidRPr="005A1444" w:rsidRDefault="00247C75" w:rsidP="0068756D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 xml:space="preserve">Zisk na jednu akcii včetně </w:t>
            </w:r>
            <w:r w:rsidR="0057620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hybridní kapitálové účasti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4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133A87B3" w14:textId="101FECA1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46</w:t>
            </w:r>
          </w:p>
        </w:tc>
        <w:tc>
          <w:tcPr>
            <w:tcW w:w="1683" w:type="dxa"/>
            <w:vAlign w:val="center"/>
          </w:tcPr>
          <w:p w14:paraId="4774A150" w14:textId="3C59321A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65</w:t>
            </w:r>
          </w:p>
        </w:tc>
        <w:tc>
          <w:tcPr>
            <w:tcW w:w="1676" w:type="dxa"/>
            <w:vAlign w:val="center"/>
          </w:tcPr>
          <w:p w14:paraId="605D583F" w14:textId="76BB8437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-38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8%</w:t>
            </w:r>
          </w:p>
        </w:tc>
        <w:tc>
          <w:tcPr>
            <w:tcW w:w="1655" w:type="dxa"/>
            <w:vAlign w:val="center"/>
          </w:tcPr>
          <w:p w14:paraId="780F4F16" w14:textId="3BE806B1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33</w:t>
            </w:r>
          </w:p>
        </w:tc>
      </w:tr>
      <w:tr w:rsidR="0068756D" w:rsidRPr="005A1444" w14:paraId="1C766F09" w14:textId="77777777" w:rsidTr="009826E7">
        <w:trPr>
          <w:trHeight w:val="305"/>
        </w:trPr>
        <w:tc>
          <w:tcPr>
            <w:tcW w:w="2659" w:type="dxa"/>
            <w:vAlign w:val="center"/>
          </w:tcPr>
          <w:p w14:paraId="5C3B82F2" w14:textId="2DEFC259" w:rsidR="0068756D" w:rsidRPr="005A1444" w:rsidRDefault="0057620C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Cena akcie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eur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)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721B6AA2" w14:textId="1D7A8C70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22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80</w:t>
            </w:r>
          </w:p>
        </w:tc>
        <w:tc>
          <w:tcPr>
            <w:tcW w:w="1683" w:type="dxa"/>
            <w:vAlign w:val="center"/>
          </w:tcPr>
          <w:p w14:paraId="20D6B832" w14:textId="698860A0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43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30</w:t>
            </w:r>
          </w:p>
        </w:tc>
        <w:tc>
          <w:tcPr>
            <w:tcW w:w="1676" w:type="dxa"/>
            <w:vAlign w:val="center"/>
          </w:tcPr>
          <w:p w14:paraId="68652D01" w14:textId="1A8CFFB9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-47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3%</w:t>
            </w:r>
          </w:p>
        </w:tc>
        <w:tc>
          <w:tcPr>
            <w:tcW w:w="1655" w:type="dxa"/>
            <w:vAlign w:val="center"/>
          </w:tcPr>
          <w:p w14:paraId="0C7C6D36" w14:textId="2AE6BD79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35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80</w:t>
            </w:r>
          </w:p>
        </w:tc>
      </w:tr>
      <w:tr w:rsidR="0068756D" w:rsidRPr="005A1444" w14:paraId="7703E523" w14:textId="77777777" w:rsidTr="009826E7">
        <w:trPr>
          <w:trHeight w:val="305"/>
        </w:trPr>
        <w:tc>
          <w:tcPr>
            <w:tcW w:w="2659" w:type="dxa"/>
            <w:vAlign w:val="center"/>
          </w:tcPr>
          <w:p w14:paraId="068E6B83" w14:textId="4D5DD966" w:rsidR="0068756D" w:rsidRPr="005A1444" w:rsidRDefault="006D1B3B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Tržní kapitalizace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 xml:space="preserve"> (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mil. eur)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20BF3FC2" w14:textId="169C233D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170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</w:t>
            </w:r>
          </w:p>
        </w:tc>
        <w:tc>
          <w:tcPr>
            <w:tcW w:w="1683" w:type="dxa"/>
            <w:vAlign w:val="center"/>
          </w:tcPr>
          <w:p w14:paraId="63FDADAC" w14:textId="53EB4F32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323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</w:t>
            </w:r>
          </w:p>
        </w:tc>
        <w:tc>
          <w:tcPr>
            <w:tcW w:w="1676" w:type="dxa"/>
            <w:vAlign w:val="center"/>
          </w:tcPr>
          <w:p w14:paraId="15FC822B" w14:textId="061BE573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-47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3%</w:t>
            </w:r>
          </w:p>
        </w:tc>
        <w:tc>
          <w:tcPr>
            <w:tcW w:w="1655" w:type="dxa"/>
            <w:vAlign w:val="center"/>
          </w:tcPr>
          <w:p w14:paraId="131A6791" w14:textId="2795D633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267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</w:t>
            </w:r>
          </w:p>
        </w:tc>
      </w:tr>
      <w:tr w:rsidR="0068756D" w:rsidRPr="005A1444" w14:paraId="4E6C04B5" w14:textId="77777777" w:rsidTr="009826E7">
        <w:trPr>
          <w:trHeight w:val="305"/>
        </w:trPr>
        <w:tc>
          <w:tcPr>
            <w:tcW w:w="2659" w:type="dxa"/>
            <w:vAlign w:val="center"/>
          </w:tcPr>
          <w:p w14:paraId="6B7A6A25" w14:textId="7C01FE88" w:rsidR="0068756D" w:rsidRPr="005A1444" w:rsidRDefault="0068756D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Dividend</w:t>
            </w:r>
            <w:r w:rsidR="006D1B3B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a na jednu akcii (eur)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5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52470626" w14:textId="54FE6C35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10</w:t>
            </w:r>
          </w:p>
        </w:tc>
        <w:tc>
          <w:tcPr>
            <w:tcW w:w="1683" w:type="dxa"/>
            <w:vAlign w:val="center"/>
          </w:tcPr>
          <w:p w14:paraId="09C3D1A0" w14:textId="2C3C4108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25</w:t>
            </w:r>
          </w:p>
        </w:tc>
        <w:tc>
          <w:tcPr>
            <w:tcW w:w="1676" w:type="dxa"/>
            <w:vAlign w:val="center"/>
          </w:tcPr>
          <w:p w14:paraId="384D973B" w14:textId="395DECD2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-51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1%</w:t>
            </w:r>
          </w:p>
        </w:tc>
        <w:tc>
          <w:tcPr>
            <w:tcW w:w="1655" w:type="dxa"/>
            <w:vAlign w:val="center"/>
          </w:tcPr>
          <w:p w14:paraId="13AF7D71" w14:textId="03B6A0A6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20</w:t>
            </w:r>
          </w:p>
        </w:tc>
      </w:tr>
      <w:tr w:rsidR="0068756D" w:rsidRPr="005A1444" w14:paraId="6E808A5F" w14:textId="77777777" w:rsidTr="009826E7">
        <w:trPr>
          <w:trHeight w:val="305"/>
        </w:trPr>
        <w:tc>
          <w:tcPr>
            <w:tcW w:w="2659" w:type="dxa"/>
            <w:vAlign w:val="center"/>
          </w:tcPr>
          <w:p w14:paraId="20FD777C" w14:textId="6F6224C7" w:rsidR="0068756D" w:rsidRPr="005A1444" w:rsidRDefault="006D1B3B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Výplatní poměr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6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36DDA0D2" w14:textId="28F05F4C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48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9%</w:t>
            </w:r>
          </w:p>
        </w:tc>
        <w:tc>
          <w:tcPr>
            <w:tcW w:w="1683" w:type="dxa"/>
            <w:vAlign w:val="center"/>
          </w:tcPr>
          <w:p w14:paraId="6F6F6AC8" w14:textId="057C289D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50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0%</w:t>
            </w:r>
          </w:p>
        </w:tc>
        <w:tc>
          <w:tcPr>
            <w:tcW w:w="1676" w:type="dxa"/>
            <w:vAlign w:val="center"/>
          </w:tcPr>
          <w:p w14:paraId="20607A56" w14:textId="254E0B4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-1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1 PP</w:t>
            </w:r>
          </w:p>
        </w:tc>
        <w:tc>
          <w:tcPr>
            <w:tcW w:w="1655" w:type="dxa"/>
            <w:vAlign w:val="center"/>
          </w:tcPr>
          <w:p w14:paraId="3041FC80" w14:textId="7ADDB11D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50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2%</w:t>
            </w:r>
          </w:p>
        </w:tc>
      </w:tr>
      <w:tr w:rsidR="0068756D" w:rsidRPr="005A1444" w14:paraId="68F437B7" w14:textId="77777777" w:rsidTr="009826E7">
        <w:trPr>
          <w:trHeight w:val="305"/>
        </w:trPr>
        <w:tc>
          <w:tcPr>
            <w:tcW w:w="2659" w:type="dxa"/>
            <w:vAlign w:val="center"/>
          </w:tcPr>
          <w:p w14:paraId="5449507A" w14:textId="4A4680CF" w:rsidR="0068756D" w:rsidRPr="005A1444" w:rsidRDefault="006D1B3B" w:rsidP="0068756D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Zaměstnanci</w:t>
            </w:r>
            <w:r w:rsidR="0068756D" w:rsidRPr="005A1444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cs-CZ"/>
              </w:rPr>
              <w:t>7</w:t>
            </w:r>
          </w:p>
        </w:tc>
        <w:tc>
          <w:tcPr>
            <w:tcW w:w="1683" w:type="dxa"/>
            <w:shd w:val="clear" w:color="auto" w:fill="D9D9D9"/>
            <w:vAlign w:val="center"/>
          </w:tcPr>
          <w:p w14:paraId="1BA13CCD" w14:textId="554AC2D4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292</w:t>
            </w:r>
          </w:p>
        </w:tc>
        <w:tc>
          <w:tcPr>
            <w:tcW w:w="1683" w:type="dxa"/>
            <w:vAlign w:val="center"/>
          </w:tcPr>
          <w:p w14:paraId="13A64E35" w14:textId="64634A88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355</w:t>
            </w:r>
          </w:p>
        </w:tc>
        <w:tc>
          <w:tcPr>
            <w:tcW w:w="1676" w:type="dxa"/>
            <w:vAlign w:val="center"/>
          </w:tcPr>
          <w:p w14:paraId="6E12F089" w14:textId="35DB9A10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-17</w:t>
            </w:r>
            <w:r w:rsidR="008D12DC"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,</w:t>
            </w: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7%</w:t>
            </w:r>
          </w:p>
        </w:tc>
        <w:tc>
          <w:tcPr>
            <w:tcW w:w="1655" w:type="dxa"/>
            <w:vAlign w:val="center"/>
          </w:tcPr>
          <w:p w14:paraId="67A2BB31" w14:textId="7BE4B839" w:rsidR="0068756D" w:rsidRPr="005A1444" w:rsidRDefault="0068756D" w:rsidP="002326D8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</w:pPr>
            <w:r w:rsidRPr="005A1444">
              <w:rPr>
                <w:rFonts w:ascii="Arial" w:hAnsi="Arial" w:cs="Arial"/>
                <w:color w:val="000000" w:themeColor="text1"/>
                <w:sz w:val="18"/>
                <w:szCs w:val="18"/>
                <w:lang w:val="cs-CZ"/>
              </w:rPr>
              <w:t>339</w:t>
            </w:r>
          </w:p>
        </w:tc>
      </w:tr>
      <w:bookmarkEnd w:id="0"/>
    </w:tbl>
    <w:p w14:paraId="183AFE05" w14:textId="77777777" w:rsidR="005E1FC2" w:rsidRPr="005A1444" w:rsidRDefault="005E1FC2" w:rsidP="00763529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p w14:paraId="38571C7F" w14:textId="5D41D952" w:rsidR="002326D8" w:rsidRPr="005A1444" w:rsidRDefault="002326D8" w:rsidP="001A0142">
      <w:pPr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>1</w:t>
      </w:r>
      <w:r w:rsidR="003D40DB"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 xml:space="preserve"> </w:t>
      </w:r>
      <w:r w:rsidR="001A0142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Celkový výkon odpovídá výnosům vytvořeným plně konsolidovanými společnostmi a společnostmi konsolidovanými metodou equity i výnosy z</w:t>
      </w:r>
      <w:r w:rsidR="004B76B5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 </w:t>
      </w:r>
      <w:r w:rsidR="001A0142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obchodů s akciemi, každý v poměru k podílu, který drží UBM.</w:t>
      </w:r>
    </w:p>
    <w:p w14:paraId="00ED1194" w14:textId="3E29D2D3" w:rsidR="002326D8" w:rsidRPr="005A1444" w:rsidRDefault="002326D8" w:rsidP="002326D8">
      <w:pPr>
        <w:autoSpaceDE w:val="0"/>
        <w:autoSpaceDN w:val="0"/>
        <w:adjustRightInd w:val="0"/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>2</w:t>
      </w:r>
      <w:r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 xml:space="preserve"> </w:t>
      </w:r>
      <w:r w:rsidR="00AB39C9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Čistý dluh se rovná krátkodobým a dlouhodobým dluhopisům a finančním závazkům, s výjimkou leasingových závazků, mínus peníze a peněžní ekvivalenty.</w:t>
      </w:r>
    </w:p>
    <w:p w14:paraId="21C7FB49" w14:textId="3B06FD90" w:rsidR="002326D8" w:rsidRPr="005A1444" w:rsidRDefault="002326D8" w:rsidP="002326D8">
      <w:pPr>
        <w:autoSpaceDE w:val="0"/>
        <w:autoSpaceDN w:val="0"/>
        <w:adjustRightInd w:val="0"/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>3</w:t>
      </w:r>
      <w:r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 xml:space="preserve"> </w:t>
      </w:r>
      <w:r w:rsidR="00AB39C9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Zisk na akcii po odečtení hybridní kapitálové účasti.</w:t>
      </w:r>
    </w:p>
    <w:p w14:paraId="0FFFF2EB" w14:textId="042BE137" w:rsidR="002326D8" w:rsidRPr="005A1444" w:rsidRDefault="002326D8" w:rsidP="002326D8">
      <w:pPr>
        <w:autoSpaceDE w:val="0"/>
        <w:autoSpaceDN w:val="0"/>
        <w:adjustRightInd w:val="0"/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>4</w:t>
      </w:r>
      <w:r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 xml:space="preserve"> </w:t>
      </w:r>
      <w:r w:rsidR="00AB39C9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Zisk na akcii před odečtením hybridní kapitálové účasti</w:t>
      </w:r>
      <w:r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.</w:t>
      </w:r>
    </w:p>
    <w:p w14:paraId="4DFF525B" w14:textId="77777777" w:rsidR="00AB39C9" w:rsidRPr="005A1444" w:rsidRDefault="002326D8" w:rsidP="00AB39C9">
      <w:pPr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>5</w:t>
      </w:r>
      <w:r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 xml:space="preserve"> </w:t>
      </w:r>
      <w:r w:rsidR="00AB39C9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Dividenda se vyplácí v příslušném finančním roce, ale vychází z čistého zisku předchozího roku. Návrh dividendy pro rok 2022 podléhá</w:t>
      </w:r>
    </w:p>
    <w:p w14:paraId="6916E6B7" w14:textId="608E79A1" w:rsidR="002326D8" w:rsidRPr="005A1444" w:rsidRDefault="00AB39C9" w:rsidP="00AB39C9">
      <w:pPr>
        <w:autoSpaceDE w:val="0"/>
        <w:autoSpaceDN w:val="0"/>
        <w:adjustRightInd w:val="0"/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 xml:space="preserve">  schválení výroční valnou hromadou</w:t>
      </w:r>
      <w:r w:rsidR="002326D8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.</w:t>
      </w:r>
    </w:p>
    <w:p w14:paraId="2E9DEBA9" w14:textId="1B6EF610" w:rsidR="002326D8" w:rsidRPr="005A1444" w:rsidRDefault="002326D8" w:rsidP="002326D8">
      <w:pPr>
        <w:autoSpaceDE w:val="0"/>
        <w:autoSpaceDN w:val="0"/>
        <w:adjustRightInd w:val="0"/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>6</w:t>
      </w:r>
      <w:r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 xml:space="preserve"> </w:t>
      </w:r>
      <w:r w:rsidR="0057620C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Dividenda ve vztahu k zisku na akcii po odečtení hybridní kapitálové účasti.</w:t>
      </w:r>
    </w:p>
    <w:p w14:paraId="0427D73D" w14:textId="144BDE3F" w:rsidR="0068756D" w:rsidRPr="005A1444" w:rsidRDefault="0068756D" w:rsidP="002326D8">
      <w:pPr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 xml:space="preserve">7 </w:t>
      </w:r>
      <w:r w:rsidR="0057620C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Vyjma 72 zaměstnanců z alba Bau | Projekt Management GmbH; společnost byla prodána k 30. červnu 2022.</w:t>
      </w:r>
    </w:p>
    <w:p w14:paraId="550B0CA8" w14:textId="188B9923" w:rsidR="008D12DC" w:rsidRPr="005A1444" w:rsidRDefault="0068756D" w:rsidP="0057620C">
      <w:pPr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</w:pPr>
      <w:r w:rsidRPr="005A1444"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  <w:t xml:space="preserve">8 </w:t>
      </w:r>
      <w:r w:rsidR="0057620C" w:rsidRPr="005A1444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Klíčové hodnoty aktiv a finanční údaje přepracované k 31. prosinci 2021 a 31. prosinci 2020 z důvodu zjištění rakouského finančního úřadu (OePR). Více informací naleznete v konsolidované účetní uzávěrce</w:t>
      </w:r>
      <w:r w:rsidR="00760F28">
        <w:rPr>
          <w:rFonts w:ascii="Arial" w:eastAsiaTheme="minorHAnsi" w:hAnsi="Arial" w:cs="Arial"/>
          <w:color w:val="1D1D1B"/>
          <w:sz w:val="14"/>
          <w:szCs w:val="14"/>
          <w:lang w:val="cs-CZ" w:eastAsia="en-US"/>
        </w:rPr>
        <w:t>.</w:t>
      </w:r>
    </w:p>
    <w:p w14:paraId="0778E527" w14:textId="13ABF10D" w:rsidR="0068756D" w:rsidRPr="005A1444" w:rsidRDefault="0068756D" w:rsidP="0068756D">
      <w:pPr>
        <w:autoSpaceDE w:val="0"/>
        <w:autoSpaceDN w:val="0"/>
        <w:adjustRightInd w:val="0"/>
        <w:rPr>
          <w:rFonts w:ascii="Arial" w:eastAsiaTheme="minorHAnsi" w:hAnsi="Arial" w:cs="Arial"/>
          <w:color w:val="1D1D1B"/>
          <w:sz w:val="14"/>
          <w:szCs w:val="14"/>
          <w:vertAlign w:val="superscript"/>
          <w:lang w:val="cs-CZ" w:eastAsia="en-US"/>
        </w:rPr>
      </w:pPr>
    </w:p>
    <w:p w14:paraId="30183E29" w14:textId="77777777" w:rsidR="005131FE" w:rsidRPr="005A1444" w:rsidRDefault="005131FE" w:rsidP="00763529">
      <w:pPr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</w:p>
    <w:sectPr w:rsidR="005131FE" w:rsidRPr="005A1444" w:rsidSect="00B60DFE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5EE5" w14:textId="77777777" w:rsidR="00361E6E" w:rsidRDefault="00361E6E" w:rsidP="00445E47">
      <w:r>
        <w:separator/>
      </w:r>
    </w:p>
  </w:endnote>
  <w:endnote w:type="continuationSeparator" w:id="0">
    <w:p w14:paraId="5EBB9C2A" w14:textId="77777777" w:rsidR="00361E6E" w:rsidRDefault="00361E6E" w:rsidP="004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Next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91377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D2451C9" w14:textId="5740F3D9" w:rsidR="004F6B48" w:rsidRPr="004F6B48" w:rsidRDefault="004F6B48" w:rsidP="004F6B4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F6B48">
          <w:rPr>
            <w:rFonts w:ascii="Arial" w:hAnsi="Arial" w:cs="Arial"/>
            <w:sz w:val="20"/>
            <w:szCs w:val="20"/>
          </w:rPr>
          <w:fldChar w:fldCharType="begin"/>
        </w:r>
        <w:r w:rsidRPr="004F6B48">
          <w:rPr>
            <w:rFonts w:ascii="Arial" w:hAnsi="Arial" w:cs="Arial"/>
            <w:sz w:val="20"/>
            <w:szCs w:val="20"/>
          </w:rPr>
          <w:instrText>PAGE   \* MERGEFORMAT</w:instrText>
        </w:r>
        <w:r w:rsidRPr="004F6B48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F6B4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79188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04596F" w14:textId="2A4EB056" w:rsidR="004F6B48" w:rsidRPr="004F6B48" w:rsidRDefault="004F6B48" w:rsidP="004F6B4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4F6B48">
          <w:rPr>
            <w:rFonts w:ascii="Arial" w:hAnsi="Arial" w:cs="Arial"/>
            <w:sz w:val="20"/>
            <w:szCs w:val="20"/>
          </w:rPr>
          <w:fldChar w:fldCharType="begin"/>
        </w:r>
        <w:r w:rsidRPr="004F6B48">
          <w:rPr>
            <w:rFonts w:ascii="Arial" w:hAnsi="Arial" w:cs="Arial"/>
            <w:sz w:val="20"/>
            <w:szCs w:val="20"/>
          </w:rPr>
          <w:instrText>PAGE   \* MERGEFORMAT</w:instrText>
        </w:r>
        <w:r w:rsidRPr="004F6B48">
          <w:rPr>
            <w:rFonts w:ascii="Arial" w:hAnsi="Arial" w:cs="Arial"/>
            <w:sz w:val="20"/>
            <w:szCs w:val="20"/>
          </w:rPr>
          <w:fldChar w:fldCharType="separate"/>
        </w:r>
        <w:r w:rsidRPr="004F6B48">
          <w:rPr>
            <w:rFonts w:ascii="Arial" w:hAnsi="Arial" w:cs="Arial"/>
            <w:sz w:val="20"/>
            <w:szCs w:val="20"/>
          </w:rPr>
          <w:t>2</w:t>
        </w:r>
        <w:r w:rsidRPr="004F6B4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AA84" w14:textId="77777777" w:rsidR="00361E6E" w:rsidRDefault="00361E6E" w:rsidP="00445E47">
      <w:r>
        <w:separator/>
      </w:r>
    </w:p>
  </w:footnote>
  <w:footnote w:type="continuationSeparator" w:id="0">
    <w:p w14:paraId="7A82CDC3" w14:textId="77777777" w:rsidR="00361E6E" w:rsidRDefault="00361E6E" w:rsidP="00445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868C" w14:textId="4CE47CCF" w:rsidR="00B60DFE" w:rsidRDefault="00B60DFE" w:rsidP="00B60DFE">
    <w:pPr>
      <w:pStyle w:val="Zhlav"/>
      <w:rPr>
        <w:rFonts w:ascii="Arial" w:hAnsi="Arial" w:cs="Arial"/>
        <w:b/>
        <w:bCs/>
        <w:caps/>
        <w:color w:val="696969"/>
        <w:lang w:val="de-AT"/>
      </w:rPr>
    </w:pPr>
    <w:bookmarkStart w:id="1" w:name="_Hlk5349069"/>
  </w:p>
  <w:p w14:paraId="1BB292B0" w14:textId="3D4E2ED5" w:rsidR="00445E47" w:rsidRDefault="00C00AFE" w:rsidP="00B60DFE">
    <w:pPr>
      <w:pStyle w:val="Zhlav"/>
      <w:rPr>
        <w:rFonts w:ascii="Arial" w:hAnsi="Arial" w:cs="Arial"/>
        <w:b/>
        <w:bCs/>
        <w:caps/>
        <w:color w:val="696969"/>
        <w:lang w:val="de-AT"/>
      </w:rPr>
    </w:pPr>
    <w:r>
      <w:rPr>
        <w:rFonts w:ascii="Arial" w:hAnsi="Arial" w:cs="Arial"/>
        <w:b/>
        <w:bCs/>
        <w:caps/>
        <w:color w:val="696969"/>
        <w:lang w:val="de-AT"/>
      </w:rPr>
      <w:t>tisková zpráva</w:t>
    </w:r>
    <w:bookmarkEnd w:id="1"/>
    <w:r w:rsidR="00B60DFE">
      <w:rPr>
        <w:rFonts w:ascii="Arial" w:hAnsi="Arial" w:cs="Arial"/>
        <w:b/>
        <w:bCs/>
        <w:caps/>
        <w:color w:val="696969"/>
        <w:lang w:val="de-AT"/>
      </w:rPr>
      <w:tab/>
    </w:r>
    <w:r w:rsidR="00B60DFE">
      <w:rPr>
        <w:rFonts w:ascii="Arial" w:hAnsi="Arial" w:cs="Arial"/>
        <w:b/>
        <w:bCs/>
        <w:caps/>
        <w:color w:val="696969"/>
        <w:lang w:val="de-AT"/>
      </w:rPr>
      <w:tab/>
    </w:r>
    <w:r w:rsidR="004F6B48">
      <w:rPr>
        <w:rFonts w:ascii="Arial" w:hAnsi="Arial" w:cs="Arial"/>
        <w:b/>
        <w:bCs/>
        <w:caps/>
        <w:noProof/>
        <w:color w:val="696969"/>
        <w:lang w:val="de-AT"/>
      </w:rPr>
      <w:drawing>
        <wp:inline distT="0" distB="0" distL="0" distR="0" wp14:anchorId="2123228C" wp14:editId="6D7DB806">
          <wp:extent cx="720000" cy="720000"/>
          <wp:effectExtent l="0" t="0" r="4445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M-Logo-1804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B23B76" w14:textId="77777777" w:rsidR="00445E47" w:rsidRDefault="00445E47">
    <w:pPr>
      <w:pStyle w:val="Zhlav"/>
      <w:rPr>
        <w:rFonts w:ascii="Arial" w:hAnsi="Arial" w:cs="Arial"/>
        <w:b/>
        <w:bCs/>
        <w:caps/>
        <w:color w:val="696969"/>
        <w:lang w:val="de-AT"/>
      </w:rPr>
    </w:pPr>
  </w:p>
  <w:p w14:paraId="4C9FE952" w14:textId="3F5CA12E" w:rsidR="00445E47" w:rsidRDefault="00445E47">
    <w:pPr>
      <w:pStyle w:val="Zhlav"/>
    </w:pPr>
  </w:p>
  <w:p w14:paraId="5FA03E19" w14:textId="77777777" w:rsidR="0035559A" w:rsidRDefault="003555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4209"/>
    <w:multiLevelType w:val="hybridMultilevel"/>
    <w:tmpl w:val="1E7248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86EBCE">
      <w:start w:val="2320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C6EF1"/>
    <w:multiLevelType w:val="hybridMultilevel"/>
    <w:tmpl w:val="E5FCB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3AFE"/>
    <w:multiLevelType w:val="hybridMultilevel"/>
    <w:tmpl w:val="C9EE59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D2AF6"/>
    <w:multiLevelType w:val="hybridMultilevel"/>
    <w:tmpl w:val="702480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A2BFC"/>
    <w:multiLevelType w:val="hybridMultilevel"/>
    <w:tmpl w:val="E1A4F9C2"/>
    <w:lvl w:ilvl="0" w:tplc="0A363078">
      <w:start w:val="2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2139">
    <w:abstractNumId w:val="3"/>
  </w:num>
  <w:num w:numId="2" w16cid:durableId="409810943">
    <w:abstractNumId w:val="0"/>
  </w:num>
  <w:num w:numId="3" w16cid:durableId="1817144325">
    <w:abstractNumId w:val="2"/>
  </w:num>
  <w:num w:numId="4" w16cid:durableId="634868225">
    <w:abstractNumId w:val="4"/>
  </w:num>
  <w:num w:numId="5" w16cid:durableId="1668820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47"/>
    <w:rsid w:val="00002DFA"/>
    <w:rsid w:val="00005FD6"/>
    <w:rsid w:val="00007160"/>
    <w:rsid w:val="00011BC5"/>
    <w:rsid w:val="0001313A"/>
    <w:rsid w:val="000142E7"/>
    <w:rsid w:val="00021415"/>
    <w:rsid w:val="00022282"/>
    <w:rsid w:val="00025142"/>
    <w:rsid w:val="000506FA"/>
    <w:rsid w:val="00051062"/>
    <w:rsid w:val="00054697"/>
    <w:rsid w:val="00071D89"/>
    <w:rsid w:val="00076C73"/>
    <w:rsid w:val="0008006B"/>
    <w:rsid w:val="000812FB"/>
    <w:rsid w:val="000857F8"/>
    <w:rsid w:val="00085DA8"/>
    <w:rsid w:val="0009024F"/>
    <w:rsid w:val="000A167F"/>
    <w:rsid w:val="000A6728"/>
    <w:rsid w:val="000B2F9E"/>
    <w:rsid w:val="000B6003"/>
    <w:rsid w:val="000B7015"/>
    <w:rsid w:val="000D3D8D"/>
    <w:rsid w:val="000D611B"/>
    <w:rsid w:val="000E03D4"/>
    <w:rsid w:val="000E1092"/>
    <w:rsid w:val="000F6399"/>
    <w:rsid w:val="000F6B09"/>
    <w:rsid w:val="000F7720"/>
    <w:rsid w:val="000F7C1C"/>
    <w:rsid w:val="00103457"/>
    <w:rsid w:val="00120229"/>
    <w:rsid w:val="00123202"/>
    <w:rsid w:val="0013292F"/>
    <w:rsid w:val="0014064B"/>
    <w:rsid w:val="00144B35"/>
    <w:rsid w:val="001471C1"/>
    <w:rsid w:val="00156EBD"/>
    <w:rsid w:val="0016021C"/>
    <w:rsid w:val="00161E60"/>
    <w:rsid w:val="00164FBB"/>
    <w:rsid w:val="00165E99"/>
    <w:rsid w:val="00167FCC"/>
    <w:rsid w:val="0017280E"/>
    <w:rsid w:val="00172895"/>
    <w:rsid w:val="0017417D"/>
    <w:rsid w:val="00183998"/>
    <w:rsid w:val="001840BD"/>
    <w:rsid w:val="00184590"/>
    <w:rsid w:val="001927AB"/>
    <w:rsid w:val="0019603D"/>
    <w:rsid w:val="001A0142"/>
    <w:rsid w:val="001A76B6"/>
    <w:rsid w:val="001A7B0C"/>
    <w:rsid w:val="001B3788"/>
    <w:rsid w:val="001B3BE0"/>
    <w:rsid w:val="001B3DC6"/>
    <w:rsid w:val="001C11F0"/>
    <w:rsid w:val="001C3202"/>
    <w:rsid w:val="001C524B"/>
    <w:rsid w:val="001C6D04"/>
    <w:rsid w:val="001D2D15"/>
    <w:rsid w:val="001D4E41"/>
    <w:rsid w:val="001D4FC0"/>
    <w:rsid w:val="001E478E"/>
    <w:rsid w:val="001F2466"/>
    <w:rsid w:val="001F3231"/>
    <w:rsid w:val="001F669D"/>
    <w:rsid w:val="00204974"/>
    <w:rsid w:val="00205F16"/>
    <w:rsid w:val="00207676"/>
    <w:rsid w:val="0021077C"/>
    <w:rsid w:val="002243D1"/>
    <w:rsid w:val="00225B47"/>
    <w:rsid w:val="002326D8"/>
    <w:rsid w:val="002332A4"/>
    <w:rsid w:val="00236A3F"/>
    <w:rsid w:val="00243F6D"/>
    <w:rsid w:val="00245094"/>
    <w:rsid w:val="00245BF8"/>
    <w:rsid w:val="00247059"/>
    <w:rsid w:val="00247C75"/>
    <w:rsid w:val="00252128"/>
    <w:rsid w:val="0025719C"/>
    <w:rsid w:val="00260A60"/>
    <w:rsid w:val="00261E44"/>
    <w:rsid w:val="00263488"/>
    <w:rsid w:val="002733B5"/>
    <w:rsid w:val="00277AA0"/>
    <w:rsid w:val="00280623"/>
    <w:rsid w:val="00280D5D"/>
    <w:rsid w:val="00292829"/>
    <w:rsid w:val="002A0B4C"/>
    <w:rsid w:val="002A31E4"/>
    <w:rsid w:val="002B19E1"/>
    <w:rsid w:val="002B3C5E"/>
    <w:rsid w:val="002B6AF9"/>
    <w:rsid w:val="002B6CF1"/>
    <w:rsid w:val="002C0277"/>
    <w:rsid w:val="002D28F8"/>
    <w:rsid w:val="002D3295"/>
    <w:rsid w:val="002D50A1"/>
    <w:rsid w:val="002E3330"/>
    <w:rsid w:val="002F0B52"/>
    <w:rsid w:val="002F0F9A"/>
    <w:rsid w:val="003021A1"/>
    <w:rsid w:val="00302978"/>
    <w:rsid w:val="00304562"/>
    <w:rsid w:val="0030600E"/>
    <w:rsid w:val="00310CFF"/>
    <w:rsid w:val="00316E01"/>
    <w:rsid w:val="00323765"/>
    <w:rsid w:val="00323E2D"/>
    <w:rsid w:val="003319A7"/>
    <w:rsid w:val="00334AB3"/>
    <w:rsid w:val="00337495"/>
    <w:rsid w:val="0034537F"/>
    <w:rsid w:val="0035366F"/>
    <w:rsid w:val="0035559A"/>
    <w:rsid w:val="0035645B"/>
    <w:rsid w:val="00361E6E"/>
    <w:rsid w:val="00367760"/>
    <w:rsid w:val="00380791"/>
    <w:rsid w:val="003834CA"/>
    <w:rsid w:val="003837FD"/>
    <w:rsid w:val="00384630"/>
    <w:rsid w:val="00384787"/>
    <w:rsid w:val="00385CCA"/>
    <w:rsid w:val="00387DAE"/>
    <w:rsid w:val="003903A9"/>
    <w:rsid w:val="00392F0B"/>
    <w:rsid w:val="00393EAA"/>
    <w:rsid w:val="003941C7"/>
    <w:rsid w:val="003A6836"/>
    <w:rsid w:val="003A6ECD"/>
    <w:rsid w:val="003B5092"/>
    <w:rsid w:val="003C1195"/>
    <w:rsid w:val="003C6660"/>
    <w:rsid w:val="003D325D"/>
    <w:rsid w:val="003D40DB"/>
    <w:rsid w:val="003E1D93"/>
    <w:rsid w:val="003E262B"/>
    <w:rsid w:val="003E34E8"/>
    <w:rsid w:val="003E49EA"/>
    <w:rsid w:val="003E67B9"/>
    <w:rsid w:val="003E6801"/>
    <w:rsid w:val="003E6C4F"/>
    <w:rsid w:val="003F0E29"/>
    <w:rsid w:val="003F2B9D"/>
    <w:rsid w:val="003F4523"/>
    <w:rsid w:val="0040058D"/>
    <w:rsid w:val="0040418E"/>
    <w:rsid w:val="00407E5A"/>
    <w:rsid w:val="004151B2"/>
    <w:rsid w:val="004279BE"/>
    <w:rsid w:val="00432A81"/>
    <w:rsid w:val="0043664C"/>
    <w:rsid w:val="00440176"/>
    <w:rsid w:val="00441C23"/>
    <w:rsid w:val="00444D31"/>
    <w:rsid w:val="00445E47"/>
    <w:rsid w:val="0044623A"/>
    <w:rsid w:val="00455796"/>
    <w:rsid w:val="00484CE5"/>
    <w:rsid w:val="00484DB5"/>
    <w:rsid w:val="004855B9"/>
    <w:rsid w:val="00487146"/>
    <w:rsid w:val="004A0635"/>
    <w:rsid w:val="004A09FD"/>
    <w:rsid w:val="004A3349"/>
    <w:rsid w:val="004B085E"/>
    <w:rsid w:val="004B5E7A"/>
    <w:rsid w:val="004B6983"/>
    <w:rsid w:val="004B76B5"/>
    <w:rsid w:val="004C0F52"/>
    <w:rsid w:val="004C4E58"/>
    <w:rsid w:val="004C6F16"/>
    <w:rsid w:val="004D3D87"/>
    <w:rsid w:val="004E33C1"/>
    <w:rsid w:val="004E37EB"/>
    <w:rsid w:val="004E7007"/>
    <w:rsid w:val="004F1781"/>
    <w:rsid w:val="004F6B48"/>
    <w:rsid w:val="004F70A5"/>
    <w:rsid w:val="00502C5C"/>
    <w:rsid w:val="0050404A"/>
    <w:rsid w:val="00504725"/>
    <w:rsid w:val="005131FE"/>
    <w:rsid w:val="005218D8"/>
    <w:rsid w:val="0053182A"/>
    <w:rsid w:val="00532E8A"/>
    <w:rsid w:val="0054065B"/>
    <w:rsid w:val="00567E2E"/>
    <w:rsid w:val="00573314"/>
    <w:rsid w:val="0057620C"/>
    <w:rsid w:val="005837EB"/>
    <w:rsid w:val="005A1320"/>
    <w:rsid w:val="005A1444"/>
    <w:rsid w:val="005A6159"/>
    <w:rsid w:val="005B163B"/>
    <w:rsid w:val="005B2AD8"/>
    <w:rsid w:val="005B4B8A"/>
    <w:rsid w:val="005C5997"/>
    <w:rsid w:val="005C7BC8"/>
    <w:rsid w:val="005E1FC2"/>
    <w:rsid w:val="005E63C7"/>
    <w:rsid w:val="005F487D"/>
    <w:rsid w:val="005F4E3D"/>
    <w:rsid w:val="00602BAB"/>
    <w:rsid w:val="00603393"/>
    <w:rsid w:val="00623D9F"/>
    <w:rsid w:val="006263E0"/>
    <w:rsid w:val="0062736C"/>
    <w:rsid w:val="00630CE0"/>
    <w:rsid w:val="006427F9"/>
    <w:rsid w:val="00643E31"/>
    <w:rsid w:val="00645437"/>
    <w:rsid w:val="00652F23"/>
    <w:rsid w:val="00661A32"/>
    <w:rsid w:val="00662D0B"/>
    <w:rsid w:val="00665C47"/>
    <w:rsid w:val="006701BA"/>
    <w:rsid w:val="00671F43"/>
    <w:rsid w:val="006755D9"/>
    <w:rsid w:val="006813C4"/>
    <w:rsid w:val="00681643"/>
    <w:rsid w:val="00682CCC"/>
    <w:rsid w:val="0068756D"/>
    <w:rsid w:val="00690439"/>
    <w:rsid w:val="00691B5E"/>
    <w:rsid w:val="00696A00"/>
    <w:rsid w:val="006A21DF"/>
    <w:rsid w:val="006A2A38"/>
    <w:rsid w:val="006A7490"/>
    <w:rsid w:val="006B1193"/>
    <w:rsid w:val="006B68BA"/>
    <w:rsid w:val="006C51E1"/>
    <w:rsid w:val="006C5F1F"/>
    <w:rsid w:val="006C60C4"/>
    <w:rsid w:val="006C719B"/>
    <w:rsid w:val="006D1B3B"/>
    <w:rsid w:val="006E3183"/>
    <w:rsid w:val="006F40FA"/>
    <w:rsid w:val="00700715"/>
    <w:rsid w:val="007035CD"/>
    <w:rsid w:val="0072277F"/>
    <w:rsid w:val="00727DF5"/>
    <w:rsid w:val="00732DF5"/>
    <w:rsid w:val="00732E1A"/>
    <w:rsid w:val="00733986"/>
    <w:rsid w:val="00746CF8"/>
    <w:rsid w:val="007542B7"/>
    <w:rsid w:val="007548CF"/>
    <w:rsid w:val="00760BE3"/>
    <w:rsid w:val="00760F28"/>
    <w:rsid w:val="00763529"/>
    <w:rsid w:val="00783FDB"/>
    <w:rsid w:val="007857E8"/>
    <w:rsid w:val="007864C4"/>
    <w:rsid w:val="007866B6"/>
    <w:rsid w:val="007870D5"/>
    <w:rsid w:val="00790C75"/>
    <w:rsid w:val="00796FE3"/>
    <w:rsid w:val="007A5877"/>
    <w:rsid w:val="007B3431"/>
    <w:rsid w:val="007C140A"/>
    <w:rsid w:val="007C5D5C"/>
    <w:rsid w:val="007C5EBF"/>
    <w:rsid w:val="007C6D21"/>
    <w:rsid w:val="007D083A"/>
    <w:rsid w:val="007D4BAF"/>
    <w:rsid w:val="007E1050"/>
    <w:rsid w:val="007E1AB0"/>
    <w:rsid w:val="007E2053"/>
    <w:rsid w:val="007E37DB"/>
    <w:rsid w:val="007E7FAC"/>
    <w:rsid w:val="007F58FC"/>
    <w:rsid w:val="00806AFC"/>
    <w:rsid w:val="00817DF5"/>
    <w:rsid w:val="0082074C"/>
    <w:rsid w:val="008263A0"/>
    <w:rsid w:val="00827B01"/>
    <w:rsid w:val="008314E0"/>
    <w:rsid w:val="00831FAB"/>
    <w:rsid w:val="00834A10"/>
    <w:rsid w:val="00846630"/>
    <w:rsid w:val="00850201"/>
    <w:rsid w:val="00866BF3"/>
    <w:rsid w:val="00867B77"/>
    <w:rsid w:val="008725BC"/>
    <w:rsid w:val="00875EF9"/>
    <w:rsid w:val="00877BFB"/>
    <w:rsid w:val="008830E0"/>
    <w:rsid w:val="00884C5D"/>
    <w:rsid w:val="00891A6F"/>
    <w:rsid w:val="00895A8C"/>
    <w:rsid w:val="00897F56"/>
    <w:rsid w:val="008A698D"/>
    <w:rsid w:val="008B4364"/>
    <w:rsid w:val="008B4FF7"/>
    <w:rsid w:val="008B6176"/>
    <w:rsid w:val="008C1B0B"/>
    <w:rsid w:val="008D12DC"/>
    <w:rsid w:val="008E6245"/>
    <w:rsid w:val="008F6AB3"/>
    <w:rsid w:val="00907119"/>
    <w:rsid w:val="00910E00"/>
    <w:rsid w:val="00911EB4"/>
    <w:rsid w:val="00913E99"/>
    <w:rsid w:val="009155BE"/>
    <w:rsid w:val="00916C84"/>
    <w:rsid w:val="0093084C"/>
    <w:rsid w:val="00942C94"/>
    <w:rsid w:val="00945664"/>
    <w:rsid w:val="0095774C"/>
    <w:rsid w:val="0096036C"/>
    <w:rsid w:val="00962C37"/>
    <w:rsid w:val="00971CAA"/>
    <w:rsid w:val="009750D8"/>
    <w:rsid w:val="009762F2"/>
    <w:rsid w:val="00984869"/>
    <w:rsid w:val="00990503"/>
    <w:rsid w:val="00990F61"/>
    <w:rsid w:val="0099115D"/>
    <w:rsid w:val="009938FA"/>
    <w:rsid w:val="00994602"/>
    <w:rsid w:val="00996C47"/>
    <w:rsid w:val="009A4DAE"/>
    <w:rsid w:val="009B21CB"/>
    <w:rsid w:val="009C0EF5"/>
    <w:rsid w:val="009C28C4"/>
    <w:rsid w:val="009C404C"/>
    <w:rsid w:val="009D6210"/>
    <w:rsid w:val="009F519D"/>
    <w:rsid w:val="00A10AE5"/>
    <w:rsid w:val="00A11742"/>
    <w:rsid w:val="00A22C5C"/>
    <w:rsid w:val="00A33A54"/>
    <w:rsid w:val="00A4042C"/>
    <w:rsid w:val="00A41052"/>
    <w:rsid w:val="00A42EC9"/>
    <w:rsid w:val="00A4471B"/>
    <w:rsid w:val="00A4493B"/>
    <w:rsid w:val="00A504DC"/>
    <w:rsid w:val="00A50B36"/>
    <w:rsid w:val="00A50DF2"/>
    <w:rsid w:val="00A62D13"/>
    <w:rsid w:val="00A6383D"/>
    <w:rsid w:val="00A639DC"/>
    <w:rsid w:val="00A652DB"/>
    <w:rsid w:val="00A67153"/>
    <w:rsid w:val="00A74EEC"/>
    <w:rsid w:val="00A75E6A"/>
    <w:rsid w:val="00A81FE4"/>
    <w:rsid w:val="00A85C26"/>
    <w:rsid w:val="00A870F0"/>
    <w:rsid w:val="00A932B2"/>
    <w:rsid w:val="00A95F7E"/>
    <w:rsid w:val="00AA1945"/>
    <w:rsid w:val="00AA4770"/>
    <w:rsid w:val="00AB09BE"/>
    <w:rsid w:val="00AB2602"/>
    <w:rsid w:val="00AB39C9"/>
    <w:rsid w:val="00AC59FE"/>
    <w:rsid w:val="00AC5C54"/>
    <w:rsid w:val="00AE017F"/>
    <w:rsid w:val="00AE0A77"/>
    <w:rsid w:val="00AF3133"/>
    <w:rsid w:val="00AF5E42"/>
    <w:rsid w:val="00AF7117"/>
    <w:rsid w:val="00AF74CC"/>
    <w:rsid w:val="00B079BB"/>
    <w:rsid w:val="00B179D4"/>
    <w:rsid w:val="00B236EC"/>
    <w:rsid w:val="00B24D18"/>
    <w:rsid w:val="00B27936"/>
    <w:rsid w:val="00B33DBD"/>
    <w:rsid w:val="00B3663B"/>
    <w:rsid w:val="00B60DFE"/>
    <w:rsid w:val="00B614FE"/>
    <w:rsid w:val="00B65A65"/>
    <w:rsid w:val="00B75785"/>
    <w:rsid w:val="00B909A5"/>
    <w:rsid w:val="00B90ECC"/>
    <w:rsid w:val="00B91BE2"/>
    <w:rsid w:val="00B97D60"/>
    <w:rsid w:val="00BA1E82"/>
    <w:rsid w:val="00BA51C0"/>
    <w:rsid w:val="00BA77ED"/>
    <w:rsid w:val="00BB2197"/>
    <w:rsid w:val="00BB5001"/>
    <w:rsid w:val="00BC14FF"/>
    <w:rsid w:val="00BC2211"/>
    <w:rsid w:val="00BC3B54"/>
    <w:rsid w:val="00BC5849"/>
    <w:rsid w:val="00BC68D2"/>
    <w:rsid w:val="00BC6AB3"/>
    <w:rsid w:val="00BD1B2B"/>
    <w:rsid w:val="00BE6938"/>
    <w:rsid w:val="00BF60A4"/>
    <w:rsid w:val="00C00AFE"/>
    <w:rsid w:val="00C01163"/>
    <w:rsid w:val="00C16B68"/>
    <w:rsid w:val="00C20957"/>
    <w:rsid w:val="00C2223B"/>
    <w:rsid w:val="00C246A7"/>
    <w:rsid w:val="00C25433"/>
    <w:rsid w:val="00C266FC"/>
    <w:rsid w:val="00C35694"/>
    <w:rsid w:val="00C41063"/>
    <w:rsid w:val="00C43044"/>
    <w:rsid w:val="00C45006"/>
    <w:rsid w:val="00C60C90"/>
    <w:rsid w:val="00C614C8"/>
    <w:rsid w:val="00C61CEF"/>
    <w:rsid w:val="00C66B31"/>
    <w:rsid w:val="00C73861"/>
    <w:rsid w:val="00C75BDF"/>
    <w:rsid w:val="00C82611"/>
    <w:rsid w:val="00C837AB"/>
    <w:rsid w:val="00C83F41"/>
    <w:rsid w:val="00C865B5"/>
    <w:rsid w:val="00C87D93"/>
    <w:rsid w:val="00C91BA9"/>
    <w:rsid w:val="00C944E5"/>
    <w:rsid w:val="00CA6D34"/>
    <w:rsid w:val="00CC21BB"/>
    <w:rsid w:val="00CC77A1"/>
    <w:rsid w:val="00CD430F"/>
    <w:rsid w:val="00CE069B"/>
    <w:rsid w:val="00CE5232"/>
    <w:rsid w:val="00CE5995"/>
    <w:rsid w:val="00CF04C7"/>
    <w:rsid w:val="00CF0DDF"/>
    <w:rsid w:val="00CF67BD"/>
    <w:rsid w:val="00D0441B"/>
    <w:rsid w:val="00D05B43"/>
    <w:rsid w:val="00D10943"/>
    <w:rsid w:val="00D17B1C"/>
    <w:rsid w:val="00D22719"/>
    <w:rsid w:val="00D41EF3"/>
    <w:rsid w:val="00D44509"/>
    <w:rsid w:val="00D47E04"/>
    <w:rsid w:val="00D54520"/>
    <w:rsid w:val="00D605BF"/>
    <w:rsid w:val="00D60EFF"/>
    <w:rsid w:val="00D65B9B"/>
    <w:rsid w:val="00D704CD"/>
    <w:rsid w:val="00D70FC1"/>
    <w:rsid w:val="00D85635"/>
    <w:rsid w:val="00D859EF"/>
    <w:rsid w:val="00D85E99"/>
    <w:rsid w:val="00D909AE"/>
    <w:rsid w:val="00D970B6"/>
    <w:rsid w:val="00DA368B"/>
    <w:rsid w:val="00DB42B7"/>
    <w:rsid w:val="00DC31D3"/>
    <w:rsid w:val="00DC3DAD"/>
    <w:rsid w:val="00DC7878"/>
    <w:rsid w:val="00DD711F"/>
    <w:rsid w:val="00DE14D5"/>
    <w:rsid w:val="00DF0869"/>
    <w:rsid w:val="00DF0EC0"/>
    <w:rsid w:val="00E04165"/>
    <w:rsid w:val="00E049F5"/>
    <w:rsid w:val="00E04CFB"/>
    <w:rsid w:val="00E12284"/>
    <w:rsid w:val="00E15550"/>
    <w:rsid w:val="00E157D1"/>
    <w:rsid w:val="00E1648B"/>
    <w:rsid w:val="00E261B0"/>
    <w:rsid w:val="00E265E6"/>
    <w:rsid w:val="00E27C74"/>
    <w:rsid w:val="00E30560"/>
    <w:rsid w:val="00E41CCB"/>
    <w:rsid w:val="00E41EEF"/>
    <w:rsid w:val="00E42EFD"/>
    <w:rsid w:val="00E54324"/>
    <w:rsid w:val="00E609C7"/>
    <w:rsid w:val="00E63349"/>
    <w:rsid w:val="00E71A2A"/>
    <w:rsid w:val="00E73F2E"/>
    <w:rsid w:val="00E873FB"/>
    <w:rsid w:val="00E8755E"/>
    <w:rsid w:val="00E87950"/>
    <w:rsid w:val="00E914D7"/>
    <w:rsid w:val="00E91C74"/>
    <w:rsid w:val="00E93005"/>
    <w:rsid w:val="00E968FF"/>
    <w:rsid w:val="00EB0EEE"/>
    <w:rsid w:val="00EB7D92"/>
    <w:rsid w:val="00EC26D6"/>
    <w:rsid w:val="00ED3AEB"/>
    <w:rsid w:val="00ED5FC4"/>
    <w:rsid w:val="00ED7096"/>
    <w:rsid w:val="00EE35C9"/>
    <w:rsid w:val="00EE541C"/>
    <w:rsid w:val="00EE695F"/>
    <w:rsid w:val="00EF336E"/>
    <w:rsid w:val="00F02782"/>
    <w:rsid w:val="00F04DB6"/>
    <w:rsid w:val="00F25FF0"/>
    <w:rsid w:val="00F26D56"/>
    <w:rsid w:val="00F35B7D"/>
    <w:rsid w:val="00F365F2"/>
    <w:rsid w:val="00F61AC6"/>
    <w:rsid w:val="00F649E7"/>
    <w:rsid w:val="00F65D3C"/>
    <w:rsid w:val="00F718F9"/>
    <w:rsid w:val="00F75C99"/>
    <w:rsid w:val="00F87913"/>
    <w:rsid w:val="00F93CA9"/>
    <w:rsid w:val="00F94CAC"/>
    <w:rsid w:val="00F96F55"/>
    <w:rsid w:val="00F97DF5"/>
    <w:rsid w:val="00FA304F"/>
    <w:rsid w:val="00FA30E1"/>
    <w:rsid w:val="00FA6DF7"/>
    <w:rsid w:val="00FB4C5C"/>
    <w:rsid w:val="00FC1D89"/>
    <w:rsid w:val="00FC6119"/>
    <w:rsid w:val="00FC638A"/>
    <w:rsid w:val="00FC6616"/>
    <w:rsid w:val="00FC7D01"/>
    <w:rsid w:val="00FD480C"/>
    <w:rsid w:val="00FD4EE1"/>
    <w:rsid w:val="00FD5980"/>
    <w:rsid w:val="00FE0AF3"/>
    <w:rsid w:val="00FE168D"/>
    <w:rsid w:val="00FE2104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10B23"/>
  <w15:chartTrackingRefBased/>
  <w15:docId w15:val="{ADD11174-B3EC-4570-932E-36DFA45D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E47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infAbs">
    <w:name w:val="[Einf. Abs.]"/>
    <w:basedOn w:val="Normln"/>
    <w:uiPriority w:val="99"/>
    <w:rsid w:val="00445E4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ypertextovodkaz">
    <w:name w:val="Hyperlink"/>
    <w:basedOn w:val="Standardnpsmoodstavce"/>
    <w:uiPriority w:val="99"/>
    <w:unhideWhenUsed/>
    <w:rsid w:val="00445E4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45E4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E47"/>
    <w:rPr>
      <w:rFonts w:eastAsiaTheme="minorEastAsia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445E4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E47"/>
    <w:rPr>
      <w:rFonts w:eastAsiaTheme="minorEastAsia"/>
      <w:sz w:val="24"/>
      <w:szCs w:val="24"/>
      <w:lang w:eastAsia="de-DE"/>
    </w:rPr>
  </w:style>
  <w:style w:type="paragraph" w:styleId="Odstavecseseznamem">
    <w:name w:val="List Paragraph"/>
    <w:basedOn w:val="Normln"/>
    <w:uiPriority w:val="34"/>
    <w:qFormat/>
    <w:rsid w:val="000D3D8D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E70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E70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E7007"/>
    <w:rPr>
      <w:rFonts w:eastAsiaTheme="minorEastAsia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70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7007"/>
    <w:rPr>
      <w:rFonts w:eastAsiaTheme="minorEastAsia"/>
      <w:b/>
      <w:bCs/>
      <w:sz w:val="20"/>
      <w:szCs w:val="20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0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007"/>
    <w:rPr>
      <w:rFonts w:ascii="Segoe UI" w:eastAsiaTheme="minorEastAsia" w:hAnsi="Segoe UI" w:cs="Segoe UI"/>
      <w:sz w:val="18"/>
      <w:szCs w:val="18"/>
      <w:lang w:eastAsia="de-DE"/>
    </w:rPr>
  </w:style>
  <w:style w:type="character" w:styleId="Nevyeenzmnka">
    <w:name w:val="Unresolved Mention"/>
    <w:basedOn w:val="Standardnpsmoodstavce"/>
    <w:uiPriority w:val="99"/>
    <w:semiHidden/>
    <w:unhideWhenUsed/>
    <w:rsid w:val="008B4FF7"/>
    <w:rPr>
      <w:color w:val="808080"/>
      <w:shd w:val="clear" w:color="auto" w:fill="E6E6E6"/>
    </w:rPr>
  </w:style>
  <w:style w:type="paragraph" w:customStyle="1" w:styleId="FLIETEXT">
    <w:name w:val="FLIEßTEXT"/>
    <w:basedOn w:val="Normln"/>
    <w:uiPriority w:val="99"/>
    <w:rsid w:val="0035366F"/>
    <w:pPr>
      <w:tabs>
        <w:tab w:val="left" w:pos="283"/>
      </w:tabs>
      <w:autoSpaceDE w:val="0"/>
      <w:autoSpaceDN w:val="0"/>
      <w:adjustRightInd w:val="0"/>
      <w:spacing w:after="227" w:line="240" w:lineRule="atLeast"/>
      <w:jc w:val="both"/>
      <w:textAlignment w:val="center"/>
    </w:pPr>
    <w:rPr>
      <w:rFonts w:ascii="AvenirNextLTPro-Regular" w:eastAsiaTheme="minorHAnsi" w:hAnsi="AvenirNextLTPro-Regular" w:cs="AvenirNextLTPro-Regular"/>
      <w:color w:val="000000"/>
      <w:sz w:val="18"/>
      <w:szCs w:val="18"/>
      <w:lang w:eastAsia="en-US"/>
    </w:rPr>
  </w:style>
  <w:style w:type="character" w:customStyle="1" w:styleId="MagentamarkierterText">
    <w:name w:val="Magenta markierter Text"/>
    <w:uiPriority w:val="99"/>
    <w:rsid w:val="00B24D18"/>
    <w:rPr>
      <w:color w:val="E5007D"/>
    </w:rPr>
  </w:style>
  <w:style w:type="character" w:styleId="Siln">
    <w:name w:val="Strong"/>
    <w:basedOn w:val="Standardnpsmoodstavce"/>
    <w:uiPriority w:val="22"/>
    <w:qFormat/>
    <w:rsid w:val="001927AB"/>
    <w:rPr>
      <w:b/>
      <w:bCs/>
    </w:rPr>
  </w:style>
  <w:style w:type="paragraph" w:customStyle="1" w:styleId="Default">
    <w:name w:val="Default"/>
    <w:rsid w:val="00F87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43E31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hristoph.rainer@ubm-developm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DDCD10-5CDD-42EF-9FAC-5ACF95E7F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A9F174-1DF6-4806-9E83-FDE89402F3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CE579-E26C-4800-9E46-97DC36ECC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7AA5A-482A-4B0B-ADEE-5AAC3CE4B7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1280</Words>
  <Characters>7554</Characters>
  <Application>Microsoft Office Word</Application>
  <DocSecurity>0</DocSecurity>
  <Lines>62</Lines>
  <Paragraphs>17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Garbe Jana</dc:creator>
  <cp:keywords/>
  <dc:description/>
  <cp:lastModifiedBy>Kamila Čadková</cp:lastModifiedBy>
  <cp:revision>15</cp:revision>
  <cp:lastPrinted>2023-04-17T14:21:00Z</cp:lastPrinted>
  <dcterms:created xsi:type="dcterms:W3CDTF">2023-04-17T14:10:00Z</dcterms:created>
  <dcterms:modified xsi:type="dcterms:W3CDTF">2023-04-17T14:25:00Z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