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44961B3D" w:rsidR="001B54AD" w:rsidRPr="001B54AD" w:rsidRDefault="00AD2A6D"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Jak si vede zlato? Měsíční přehled</w:t>
      </w:r>
      <w:r w:rsidR="00FD0623">
        <w:rPr>
          <w:rFonts w:ascii="Invesco Interstate Bold" w:eastAsia="Times New Roman" w:hAnsi="Invesco Interstate Bold"/>
          <w:b/>
          <w:bCs/>
          <w:sz w:val="28"/>
          <w:szCs w:val="28"/>
          <w:lang w:eastAsia="de-DE"/>
        </w:rPr>
        <w:t xml:space="preserve"> společnosti </w:t>
      </w:r>
      <w:proofErr w:type="spellStart"/>
      <w:r w:rsidR="00FD0623">
        <w:rPr>
          <w:rFonts w:ascii="Invesco Interstate Bold" w:eastAsia="Times New Roman" w:hAnsi="Invesco Interstate Bold"/>
          <w:b/>
          <w:bCs/>
          <w:sz w:val="28"/>
          <w:szCs w:val="28"/>
          <w:lang w:eastAsia="de-DE"/>
        </w:rPr>
        <w:t>Invesco</w:t>
      </w:r>
      <w:proofErr w:type="spellEnd"/>
    </w:p>
    <w:p w14:paraId="450ADEA9" w14:textId="1F8022F8" w:rsidR="001B54AD" w:rsidRPr="001B54AD" w:rsidRDefault="00AD2A6D"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Zlato: Pozornost věnovaná lednovému výkonu</w:t>
      </w:r>
    </w:p>
    <w:p w14:paraId="4D0CD076" w14:textId="3EC88CAE" w:rsidR="00B733DA" w:rsidRPr="00AD2A6D" w:rsidRDefault="00AD2A6D" w:rsidP="001B54AD">
      <w:pPr>
        <w:pStyle w:val="Normlnweb"/>
        <w:jc w:val="both"/>
        <w:rPr>
          <w:rFonts w:ascii="Invesco Interstate Bold" w:eastAsia="Times New Roman" w:hAnsi="Invesco Interstate Bold"/>
          <w:b/>
          <w:bCs/>
          <w:lang w:eastAsia="de-DE"/>
        </w:rPr>
      </w:pPr>
      <w:r w:rsidRPr="00AD2A6D">
        <w:rPr>
          <w:rFonts w:ascii="Invesco Interstate Bold" w:eastAsia="Times New Roman" w:hAnsi="Invesco Interstate Bold"/>
          <w:b/>
          <w:bCs/>
          <w:lang w:eastAsia="de-DE"/>
        </w:rPr>
        <w:t xml:space="preserve">Zlato pokračovalo v silném růstu od loňského září a v lednu přidalo dalších 5,7 %, takže měsíc zakončilo na hodnotě 1 928 USD. Zlato </w:t>
      </w:r>
      <w:proofErr w:type="gramStart"/>
      <w:r w:rsidRPr="00AD2A6D">
        <w:rPr>
          <w:rFonts w:ascii="Invesco Interstate Bold" w:eastAsia="Times New Roman" w:hAnsi="Invesco Interstate Bold"/>
          <w:b/>
          <w:bCs/>
          <w:lang w:eastAsia="de-DE"/>
        </w:rPr>
        <w:t>těží</w:t>
      </w:r>
      <w:proofErr w:type="gramEnd"/>
      <w:r w:rsidRPr="00AD2A6D">
        <w:rPr>
          <w:rFonts w:ascii="Invesco Interstate Bold" w:eastAsia="Times New Roman" w:hAnsi="Invesco Interstate Bold"/>
          <w:b/>
          <w:bCs/>
          <w:lang w:eastAsia="de-DE"/>
        </w:rPr>
        <w:t xml:space="preserve"> z pozitivního sentimentu daného blížícím se vrcholem sazeb </w:t>
      </w:r>
      <w:proofErr w:type="spellStart"/>
      <w:r w:rsidRPr="00AD2A6D">
        <w:rPr>
          <w:rFonts w:ascii="Invesco Interstate Bold" w:eastAsia="Times New Roman" w:hAnsi="Invesco Interstate Bold"/>
          <w:b/>
          <w:bCs/>
          <w:lang w:eastAsia="de-DE"/>
        </w:rPr>
        <w:t>Fedu</w:t>
      </w:r>
      <w:proofErr w:type="spellEnd"/>
      <w:r w:rsidRPr="00AD2A6D">
        <w:rPr>
          <w:rFonts w:ascii="Invesco Interstate Bold" w:eastAsia="Times New Roman" w:hAnsi="Invesco Interstate Bold"/>
          <w:b/>
          <w:bCs/>
          <w:lang w:eastAsia="de-DE"/>
        </w:rPr>
        <w:t xml:space="preserve"> v tomto </w:t>
      </w:r>
      <w:r>
        <w:rPr>
          <w:rFonts w:ascii="Invesco Interstate Bold" w:eastAsia="Times New Roman" w:hAnsi="Invesco Interstate Bold"/>
          <w:b/>
          <w:bCs/>
          <w:lang w:eastAsia="de-DE"/>
        </w:rPr>
        <w:t>cyklu, a s tím spojenými důsledky pro reálné výnosy a sílu USD.</w:t>
      </w:r>
    </w:p>
    <w:p w14:paraId="107D9165" w14:textId="4DAEC852" w:rsidR="00AD2A6D" w:rsidRPr="001B54AD" w:rsidRDefault="00AD2A6D" w:rsidP="00AD2A6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Cena zlata v průběhu měsíce</w:t>
      </w:r>
      <w:r w:rsidR="00581CCD">
        <w:rPr>
          <w:rFonts w:ascii="Invesco Interstate Light" w:eastAsia="MS Mincho" w:hAnsi="Invesco Interstate Light" w:cs="Times New Roman"/>
          <w:sz w:val="22"/>
          <w:szCs w:val="22"/>
          <w:lang w:eastAsia="ja-JP"/>
        </w:rPr>
        <w:t>:</w:t>
      </w:r>
    </w:p>
    <w:p w14:paraId="06A006AB" w14:textId="77777777" w:rsidR="00AD2A6D" w:rsidRDefault="00AD2A6D" w:rsidP="00841D7D">
      <w:pPr>
        <w:spacing w:before="100" w:beforeAutospacing="1" w:afterAutospacing="1" w:line="240" w:lineRule="auto"/>
        <w:jc w:val="both"/>
        <w:rPr>
          <w:rFonts w:ascii="Invesco Interstate Light" w:eastAsia="MS Mincho" w:hAnsi="Invesco Interstate Light"/>
          <w:sz w:val="22"/>
          <w:szCs w:val="22"/>
          <w:lang w:eastAsia="ja-JP"/>
        </w:rPr>
      </w:pPr>
      <w:r>
        <w:rPr>
          <w:noProof/>
        </w:rPr>
        <w:drawing>
          <wp:inline distT="114300" distB="114300" distL="114300" distR="114300" wp14:anchorId="25D804A3" wp14:editId="6B36967D">
            <wp:extent cx="5731200" cy="195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1955800"/>
                    </a:xfrm>
                    <a:prstGeom prst="rect">
                      <a:avLst/>
                    </a:prstGeom>
                    <a:ln/>
                  </pic:spPr>
                </pic:pic>
              </a:graphicData>
            </a:graphic>
          </wp:inline>
        </w:drawing>
      </w:r>
    </w:p>
    <w:p w14:paraId="22ED490B" w14:textId="77777777" w:rsidR="00AD2A6D" w:rsidRPr="00AD2A6D" w:rsidRDefault="00AD2A6D" w:rsidP="00AD2A6D">
      <w:pPr>
        <w:spacing w:before="100" w:beforeAutospacing="1" w:afterAutospacing="1" w:line="240" w:lineRule="auto"/>
        <w:jc w:val="right"/>
        <w:rPr>
          <w:b/>
        </w:rPr>
      </w:pPr>
      <w:r w:rsidRPr="00AD2A6D">
        <w:rPr>
          <w:rFonts w:ascii="Invesco Interstate Light" w:eastAsia="MS Mincho" w:hAnsi="Invesco Interstate Light"/>
          <w:i/>
          <w:iCs/>
          <w:lang w:eastAsia="ja-JP"/>
        </w:rPr>
        <w:t xml:space="preserve">Zdroj: </w:t>
      </w:r>
      <w:proofErr w:type="spellStart"/>
      <w:r w:rsidRPr="00AD2A6D">
        <w:rPr>
          <w:rFonts w:ascii="Invesco Interstate Light" w:eastAsia="MS Mincho" w:hAnsi="Invesco Interstate Light"/>
          <w:i/>
          <w:iCs/>
          <w:lang w:eastAsia="ja-JP"/>
        </w:rPr>
        <w:t>Bloomberg</w:t>
      </w:r>
      <w:proofErr w:type="spellEnd"/>
      <w:r w:rsidRPr="00AD2A6D">
        <w:rPr>
          <w:rFonts w:ascii="Invesco Interstate Light" w:eastAsia="MS Mincho" w:hAnsi="Invesco Interstate Light"/>
          <w:i/>
          <w:iCs/>
          <w:lang w:eastAsia="ja-JP"/>
        </w:rPr>
        <w:t>, stav k 1. lednu 2022. Minulá výkonnost není zárukou budoucích výnosů</w:t>
      </w:r>
      <w:r w:rsidRPr="00AD2A6D">
        <w:rPr>
          <w:b/>
        </w:rPr>
        <w:t>.</w:t>
      </w:r>
    </w:p>
    <w:p w14:paraId="74BC592F" w14:textId="77777777" w:rsidR="00AD2A6D" w:rsidRPr="00AD2A6D" w:rsidRDefault="00AD2A6D" w:rsidP="00AD2A6D">
      <w:pPr>
        <w:spacing w:line="276" w:lineRule="auto"/>
        <w:jc w:val="both"/>
        <w:rPr>
          <w:rFonts w:ascii="Invesco Interstate Light" w:eastAsia="MS Mincho" w:hAnsi="Invesco Interstate Light"/>
          <w:sz w:val="22"/>
          <w:szCs w:val="22"/>
          <w:lang w:eastAsia="ja-JP"/>
        </w:rPr>
      </w:pPr>
      <w:r w:rsidRPr="00AD2A6D">
        <w:rPr>
          <w:rFonts w:ascii="Invesco Interstate Light" w:eastAsia="MS Mincho" w:hAnsi="Invesco Interstate Light"/>
          <w:sz w:val="22"/>
          <w:szCs w:val="22"/>
          <w:lang w:eastAsia="ja-JP"/>
        </w:rPr>
        <w:t xml:space="preserve">Zlato skončilo v lednu na nejvyšší úrovni od března loňského roku, ačkoli v průběhu měsíce dosahovalo maxim až 1 948 USD. Měsíční výnos 5,7 % znamená, že za uplynulé tři měsíce do konce ledna zaznamenal tento kov nárůst ceny o 18,4 %. Leden je přitom pro zlato obvykle silným měsícem s průměrným výnosem 2,0 % za posledních 25 let. Letošní ještě silnější lednový výsledek je způsoben především změnou tržních očekávání ohledně sazeb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 xml:space="preserve">. Trhy </w:t>
      </w:r>
      <w:proofErr w:type="gramStart"/>
      <w:r w:rsidRPr="00AD2A6D">
        <w:rPr>
          <w:rFonts w:ascii="Invesco Interstate Light" w:eastAsia="MS Mincho" w:hAnsi="Invesco Interstate Light"/>
          <w:sz w:val="22"/>
          <w:szCs w:val="22"/>
          <w:lang w:eastAsia="ja-JP"/>
        </w:rPr>
        <w:t>věří</w:t>
      </w:r>
      <w:proofErr w:type="gramEnd"/>
      <w:r w:rsidRPr="00AD2A6D">
        <w:rPr>
          <w:rFonts w:ascii="Invesco Interstate Light" w:eastAsia="MS Mincho" w:hAnsi="Invesco Interstate Light"/>
          <w:sz w:val="22"/>
          <w:szCs w:val="22"/>
          <w:lang w:eastAsia="ja-JP"/>
        </w:rPr>
        <w:t>, že vrchol amerických sazeb v tomto cyklu přijde dříve a již před koncem letošního roku Fed přistoupí ke snížení své základní sazby pod 5 % (Fed v současné době signalizuje, že základní sazba se bude na konci letošního roku nacházet nad 5 %).</w:t>
      </w:r>
    </w:p>
    <w:p w14:paraId="31E3E24D" w14:textId="451A7BCD" w:rsidR="00AD2A6D" w:rsidRPr="00AD2A6D" w:rsidRDefault="00AD2A6D" w:rsidP="00AD2A6D">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r w:rsidRPr="00AD2A6D">
        <w:rPr>
          <w:rFonts w:ascii="Invesco Interstate Light" w:eastAsia="MS Mincho" w:hAnsi="Invesco Interstate Light"/>
          <w:sz w:val="22"/>
          <w:szCs w:val="22"/>
          <w:lang w:eastAsia="ja-JP"/>
        </w:rPr>
        <w:t xml:space="preserve">Další vzpruhu pro cenu zlata znamenal čínský lunární nový rok, který letos připadl na leden, což by mělo poskytnout impuls poptávce po špercích; Čína je obvykle největším odběratelem zlatých šperků na světě, byť v roce 2022, který byl anomálií (kvůli reakci Číny na pandemii), byla největším trhem Indie. Jako katalyzátor by měl působit i slabší dolar, který </w:t>
      </w:r>
      <w:proofErr w:type="gramStart"/>
      <w:r w:rsidRPr="00AD2A6D">
        <w:rPr>
          <w:rFonts w:ascii="Invesco Interstate Light" w:eastAsia="MS Mincho" w:hAnsi="Invesco Interstate Light"/>
          <w:sz w:val="22"/>
          <w:szCs w:val="22"/>
          <w:lang w:eastAsia="ja-JP"/>
        </w:rPr>
        <w:t>podpoří</w:t>
      </w:r>
      <w:proofErr w:type="gramEnd"/>
      <w:r w:rsidRPr="00AD2A6D">
        <w:rPr>
          <w:rFonts w:ascii="Invesco Interstate Light" w:eastAsia="MS Mincho" w:hAnsi="Invesco Interstate Light"/>
          <w:sz w:val="22"/>
          <w:szCs w:val="22"/>
          <w:lang w:eastAsia="ja-JP"/>
        </w:rPr>
        <w:t xml:space="preserve"> čínské nákupy. Nejnovější data také ukazují na mimořádnou poptávku centrálních bank, která by mohla dále vyhánět ceny ještě výše. Nedošlo však k přílivu prostředků do zlatých ETF, jenž by se vzhledem k silnému růstu dal očekávat.</w:t>
      </w:r>
    </w:p>
    <w:p w14:paraId="0E6D80D0" w14:textId="77777777" w:rsidR="00AD2A6D" w:rsidRPr="00AD2A6D" w:rsidRDefault="00AD2A6D" w:rsidP="00AD2A6D">
      <w:pPr>
        <w:spacing w:line="276" w:lineRule="auto"/>
        <w:jc w:val="both"/>
        <w:rPr>
          <w:rFonts w:ascii="Invesco Interstate Light" w:eastAsia="MS Mincho" w:hAnsi="Invesco Interstate Light"/>
          <w:sz w:val="22"/>
          <w:szCs w:val="22"/>
          <w:lang w:eastAsia="ja-JP"/>
        </w:rPr>
      </w:pPr>
    </w:p>
    <w:p w14:paraId="27383206" w14:textId="4CF41292" w:rsidR="00AD2A6D" w:rsidRDefault="00AD2A6D" w:rsidP="00AD2A6D">
      <w:pPr>
        <w:spacing w:line="276" w:lineRule="auto"/>
        <w:jc w:val="both"/>
        <w:rPr>
          <w:rFonts w:ascii="Invesco Interstate Light" w:eastAsia="MS Mincho" w:hAnsi="Invesco Interstate Light"/>
          <w:sz w:val="22"/>
          <w:szCs w:val="22"/>
          <w:lang w:eastAsia="ja-JP"/>
        </w:rPr>
      </w:pPr>
      <w:r w:rsidRPr="00AD2A6D">
        <w:rPr>
          <w:rFonts w:ascii="Invesco Interstate Light" w:eastAsia="MS Mincho" w:hAnsi="Invesco Interstate Light"/>
          <w:sz w:val="22"/>
          <w:szCs w:val="22"/>
          <w:lang w:eastAsia="ja-JP"/>
        </w:rPr>
        <w:t>S ohledem na znovu se objevivší problém dluhového stropu v USA stojí za to zdůraznit, že i potenciální zvýšení politické nejistoty by mohlo být pro zlato výhodné. Toto téma může v průběhu několika příštích měsíců ještě sehrát svou roli.</w:t>
      </w:r>
    </w:p>
    <w:p w14:paraId="4CE0A445" w14:textId="0C4EFF8F" w:rsidR="001B54AD" w:rsidRPr="001B54AD" w:rsidRDefault="00AD2A6D"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lastRenderedPageBreak/>
        <w:t>Cena zlata a reálné výnosy dluhopisů</w:t>
      </w:r>
      <w:r w:rsidR="00581CCD">
        <w:rPr>
          <w:rFonts w:ascii="Invesco Interstate Light" w:eastAsia="MS Mincho" w:hAnsi="Invesco Interstate Light" w:cs="Times New Roman"/>
          <w:sz w:val="22"/>
          <w:szCs w:val="22"/>
          <w:lang w:eastAsia="ja-JP"/>
        </w:rPr>
        <w:t>:</w:t>
      </w:r>
    </w:p>
    <w:p w14:paraId="3D59626D" w14:textId="77777777" w:rsidR="00AD2A6D" w:rsidRDefault="00AD2A6D" w:rsidP="00841D7D">
      <w:pPr>
        <w:spacing w:before="100" w:beforeAutospacing="1" w:line="240" w:lineRule="auto"/>
        <w:jc w:val="both"/>
        <w:rPr>
          <w:rFonts w:ascii="Invesco Interstate Light" w:eastAsia="MS Mincho" w:hAnsi="Invesco Interstate Light"/>
          <w:sz w:val="22"/>
          <w:szCs w:val="22"/>
          <w:lang w:eastAsia="ja-JP"/>
        </w:rPr>
      </w:pPr>
      <w:r>
        <w:rPr>
          <w:noProof/>
        </w:rPr>
        <w:drawing>
          <wp:inline distT="114300" distB="114300" distL="114300" distR="114300" wp14:anchorId="059ED090" wp14:editId="38B3E44D">
            <wp:extent cx="5731200" cy="2273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1200" cy="2273300"/>
                    </a:xfrm>
                    <a:prstGeom prst="rect">
                      <a:avLst/>
                    </a:prstGeom>
                    <a:ln/>
                  </pic:spPr>
                </pic:pic>
              </a:graphicData>
            </a:graphic>
          </wp:inline>
        </w:drawing>
      </w:r>
    </w:p>
    <w:p w14:paraId="52BCC3D6" w14:textId="77777777" w:rsidR="00AD2A6D" w:rsidRPr="00AD2A6D" w:rsidRDefault="00AD2A6D" w:rsidP="00AD2A6D">
      <w:pPr>
        <w:jc w:val="right"/>
        <w:rPr>
          <w:rFonts w:ascii="Invesco Interstate Light" w:eastAsia="MS Mincho" w:hAnsi="Invesco Interstate Light"/>
          <w:i/>
          <w:iCs/>
          <w:lang w:eastAsia="ja-JP"/>
        </w:rPr>
      </w:pPr>
      <w:r w:rsidRPr="00AD2A6D">
        <w:rPr>
          <w:rFonts w:ascii="Invesco Interstate Light" w:eastAsia="MS Mincho" w:hAnsi="Invesco Interstate Light"/>
          <w:i/>
          <w:iCs/>
          <w:lang w:eastAsia="ja-JP"/>
        </w:rPr>
        <w:t xml:space="preserve">Zdroj: </w:t>
      </w:r>
      <w:proofErr w:type="spellStart"/>
      <w:r w:rsidRPr="00AD2A6D">
        <w:rPr>
          <w:rFonts w:ascii="Invesco Interstate Light" w:eastAsia="MS Mincho" w:hAnsi="Invesco Interstate Light"/>
          <w:i/>
          <w:iCs/>
          <w:lang w:eastAsia="ja-JP"/>
        </w:rPr>
        <w:t>Bloomberg</w:t>
      </w:r>
      <w:proofErr w:type="spellEnd"/>
      <w:r w:rsidRPr="00AD2A6D">
        <w:rPr>
          <w:rFonts w:ascii="Invesco Interstate Light" w:eastAsia="MS Mincho" w:hAnsi="Invesco Interstate Light"/>
          <w:i/>
          <w:iCs/>
          <w:lang w:eastAsia="ja-JP"/>
        </w:rPr>
        <w:t>, stav k 1. lednu 2022. Minulá výkonnost není zárukou budoucích výnosů.</w:t>
      </w:r>
    </w:p>
    <w:p w14:paraId="70384E8B" w14:textId="77777777" w:rsidR="00AD2A6D" w:rsidRDefault="00AD2A6D" w:rsidP="00AD2A6D"/>
    <w:p w14:paraId="0EE14A3C" w14:textId="2ED37B16" w:rsidR="00AD2A6D" w:rsidRDefault="00AD2A6D" w:rsidP="00AD2A6D">
      <w:pPr>
        <w:spacing w:line="276" w:lineRule="auto"/>
        <w:jc w:val="both"/>
        <w:rPr>
          <w:rFonts w:ascii="Invesco Interstate Light" w:eastAsia="MS Mincho" w:hAnsi="Invesco Interstate Light"/>
          <w:sz w:val="22"/>
          <w:szCs w:val="22"/>
          <w:lang w:eastAsia="ja-JP"/>
        </w:rPr>
      </w:pPr>
      <w:r w:rsidRPr="00AD2A6D">
        <w:rPr>
          <w:rFonts w:ascii="Invesco Interstate Light" w:eastAsia="MS Mincho" w:hAnsi="Invesco Interstate Light"/>
          <w:sz w:val="22"/>
          <w:szCs w:val="22"/>
          <w:lang w:eastAsia="ja-JP"/>
        </w:rPr>
        <w:t xml:space="preserve">Leden byl ve znamení klesajících reálných výnosů, které skončily na úrovni 1,25 %. </w:t>
      </w:r>
      <w:proofErr w:type="spellStart"/>
      <w:r w:rsidRPr="00AD2A6D">
        <w:rPr>
          <w:rFonts w:ascii="Invesco Interstate Light" w:eastAsia="MS Mincho" w:hAnsi="Invesco Interstate Light"/>
          <w:sz w:val="22"/>
          <w:szCs w:val="22"/>
          <w:lang w:eastAsia="ja-JP"/>
        </w:rPr>
        <w:t>Inflaní</w:t>
      </w:r>
      <w:proofErr w:type="spellEnd"/>
      <w:r w:rsidRPr="00AD2A6D">
        <w:rPr>
          <w:rFonts w:ascii="Invesco Interstate Light" w:eastAsia="MS Mincho" w:hAnsi="Invesco Interstate Light"/>
          <w:sz w:val="22"/>
          <w:szCs w:val="22"/>
          <w:lang w:eastAsia="ja-JP"/>
        </w:rPr>
        <w:t xml:space="preserve"> data pomalu ustupují z vysokých úrovní, ale právě jejich směr působí jako katalyzátor tržního oceňování sazeb; trhy odpoutávají svou pozornost od inflace a zaměřují se na další vývoj hospodářského růstu. Na poli ekonomické aktivity vyšla smíšená data, průzkumy stále ukazují spíše na kontrakci a Fed se ponejvíce zaměřuje na trh práce.</w:t>
      </w:r>
    </w:p>
    <w:p w14:paraId="0225CA7F" w14:textId="7ED612E5" w:rsidR="00AD2A6D" w:rsidRDefault="00AD2A6D" w:rsidP="00AD2A6D">
      <w:pPr>
        <w:spacing w:line="276" w:lineRule="auto"/>
        <w:jc w:val="both"/>
        <w:rPr>
          <w:rFonts w:ascii="Invesco Interstate Light" w:eastAsia="MS Mincho" w:hAnsi="Invesco Interstate Light"/>
          <w:sz w:val="22"/>
          <w:szCs w:val="22"/>
          <w:lang w:eastAsia="ja-JP"/>
        </w:rPr>
      </w:pPr>
    </w:p>
    <w:p w14:paraId="759FD433" w14:textId="12265E22" w:rsidR="00AD2A6D" w:rsidRDefault="00AD2A6D" w:rsidP="00AD2A6D">
      <w:pPr>
        <w:spacing w:line="276" w:lineRule="auto"/>
        <w:jc w:val="both"/>
        <w:rPr>
          <w:rFonts w:ascii="Invesco Interstate Light" w:eastAsia="MS Mincho" w:hAnsi="Invesco Interstate Light"/>
          <w:sz w:val="22"/>
          <w:szCs w:val="22"/>
          <w:lang w:eastAsia="ja-JP"/>
        </w:rPr>
      </w:pPr>
      <w:r w:rsidRPr="00AD2A6D">
        <w:rPr>
          <w:rFonts w:ascii="Invesco Interstate Light" w:eastAsia="MS Mincho" w:hAnsi="Invesco Interstate Light"/>
          <w:sz w:val="22"/>
          <w:szCs w:val="22"/>
          <w:lang w:eastAsia="ja-JP"/>
        </w:rPr>
        <w:t xml:space="preserve">Fed zdůraznil, že se bude spoléhat na čtvrtletní mzdový index, což je plně v souladu s tím, že při své prognóze vyšších sazeb nadále poukazuje na problematický trh práce. Poslední data ukázala mezičtvrtletní nárůst mzdových nákladů o 1,0 %, což je méně než předchozí hodnota i očekávání, ale stále výrazně více než typický růst před pandemií. Celkové mzdové náklady zahrnují kromě mezd i benefity, ale obecně lze </w:t>
      </w:r>
      <w:proofErr w:type="gramStart"/>
      <w:r w:rsidRPr="00AD2A6D">
        <w:rPr>
          <w:rFonts w:ascii="Invesco Interstate Light" w:eastAsia="MS Mincho" w:hAnsi="Invesco Interstate Light"/>
          <w:sz w:val="22"/>
          <w:szCs w:val="22"/>
          <w:lang w:eastAsia="ja-JP"/>
        </w:rPr>
        <w:t>říci</w:t>
      </w:r>
      <w:proofErr w:type="gramEnd"/>
      <w:r w:rsidRPr="00AD2A6D">
        <w:rPr>
          <w:rFonts w:ascii="Invesco Interstate Light" w:eastAsia="MS Mincho" w:hAnsi="Invesco Interstate Light"/>
          <w:sz w:val="22"/>
          <w:szCs w:val="22"/>
          <w:lang w:eastAsia="ja-JP"/>
        </w:rPr>
        <w:t xml:space="preserve">, že měsíční data o mzdách budou relevantním vodítkem a poskytnou určitý náhled na další kroky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w:t>
      </w:r>
    </w:p>
    <w:p w14:paraId="64F5EEC1" w14:textId="49D548FD" w:rsidR="00581CCD" w:rsidRDefault="00581CCD" w:rsidP="00AD2A6D">
      <w:pPr>
        <w:spacing w:line="276" w:lineRule="auto"/>
        <w:jc w:val="both"/>
        <w:rPr>
          <w:rFonts w:ascii="Invesco Interstate Light" w:eastAsia="MS Mincho" w:hAnsi="Invesco Interstate Light"/>
          <w:sz w:val="22"/>
          <w:szCs w:val="22"/>
          <w:lang w:eastAsia="ja-JP"/>
        </w:rPr>
      </w:pPr>
    </w:p>
    <w:p w14:paraId="165DFAD0" w14:textId="6BC8AAD8" w:rsidR="00581CCD" w:rsidRPr="00581CCD" w:rsidRDefault="00581CCD" w:rsidP="00AD2A6D">
      <w:pPr>
        <w:spacing w:line="276" w:lineRule="auto"/>
        <w:jc w:val="both"/>
        <w:rPr>
          <w:rFonts w:ascii="Invesco Interstate Light" w:eastAsia="MS Mincho" w:hAnsi="Invesco Interstate Light"/>
          <w:b/>
          <w:bCs/>
          <w:sz w:val="22"/>
          <w:szCs w:val="22"/>
          <w:lang w:eastAsia="ja-JP"/>
        </w:rPr>
      </w:pPr>
      <w:r w:rsidRPr="00581CCD">
        <w:rPr>
          <w:rFonts w:ascii="Invesco Interstate Light" w:eastAsia="MS Mincho" w:hAnsi="Invesco Interstate Light"/>
          <w:b/>
          <w:bCs/>
          <w:sz w:val="22"/>
          <w:szCs w:val="22"/>
          <w:lang w:eastAsia="ja-JP"/>
        </w:rPr>
        <w:t>Cena zlata a americký dolar</w:t>
      </w:r>
      <w:r>
        <w:rPr>
          <w:rFonts w:ascii="Invesco Interstate Light" w:eastAsia="MS Mincho" w:hAnsi="Invesco Interstate Light"/>
          <w:b/>
          <w:bCs/>
          <w:sz w:val="22"/>
          <w:szCs w:val="22"/>
          <w:lang w:eastAsia="ja-JP"/>
        </w:rPr>
        <w:t>:</w:t>
      </w:r>
    </w:p>
    <w:p w14:paraId="705F3924" w14:textId="3CEC4385" w:rsidR="00AD2A6D" w:rsidRDefault="00AD2A6D" w:rsidP="00AD2A6D">
      <w:pPr>
        <w:spacing w:before="100" w:beforeAutospacing="1" w:line="276" w:lineRule="auto"/>
        <w:jc w:val="both"/>
        <w:rPr>
          <w:rFonts w:ascii="Invesco Interstate Light" w:eastAsia="MS Mincho" w:hAnsi="Invesco Interstate Light"/>
          <w:sz w:val="22"/>
          <w:szCs w:val="22"/>
          <w:lang w:eastAsia="ja-JP"/>
        </w:rPr>
      </w:pPr>
      <w:r>
        <w:rPr>
          <w:noProof/>
        </w:rPr>
        <w:drawing>
          <wp:inline distT="114300" distB="114300" distL="114300" distR="114300" wp14:anchorId="4EE70F58" wp14:editId="11448E7E">
            <wp:extent cx="5731200" cy="22733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2273300"/>
                    </a:xfrm>
                    <a:prstGeom prst="rect">
                      <a:avLst/>
                    </a:prstGeom>
                    <a:ln/>
                  </pic:spPr>
                </pic:pic>
              </a:graphicData>
            </a:graphic>
          </wp:inline>
        </w:drawing>
      </w:r>
    </w:p>
    <w:p w14:paraId="7301B9F6" w14:textId="42A43A69" w:rsidR="00AD2A6D" w:rsidRDefault="00AD2A6D" w:rsidP="00AD2A6D">
      <w:pPr>
        <w:jc w:val="right"/>
        <w:rPr>
          <w:rFonts w:ascii="Invesco Interstate Light" w:eastAsia="MS Mincho" w:hAnsi="Invesco Interstate Light"/>
          <w:i/>
          <w:iCs/>
          <w:lang w:eastAsia="ja-JP"/>
        </w:rPr>
      </w:pPr>
      <w:r w:rsidRPr="00AD2A6D">
        <w:rPr>
          <w:rFonts w:ascii="Invesco Interstate Light" w:eastAsia="MS Mincho" w:hAnsi="Invesco Interstate Light"/>
          <w:i/>
          <w:iCs/>
          <w:lang w:eastAsia="ja-JP"/>
        </w:rPr>
        <w:t xml:space="preserve">Zdroj: </w:t>
      </w:r>
      <w:proofErr w:type="spellStart"/>
      <w:r w:rsidRPr="00AD2A6D">
        <w:rPr>
          <w:rFonts w:ascii="Invesco Interstate Light" w:eastAsia="MS Mincho" w:hAnsi="Invesco Interstate Light"/>
          <w:i/>
          <w:iCs/>
          <w:lang w:eastAsia="ja-JP"/>
        </w:rPr>
        <w:t>Bloomberg</w:t>
      </w:r>
      <w:proofErr w:type="spellEnd"/>
      <w:r w:rsidRPr="00AD2A6D">
        <w:rPr>
          <w:rFonts w:ascii="Invesco Interstate Light" w:eastAsia="MS Mincho" w:hAnsi="Invesco Interstate Light"/>
          <w:i/>
          <w:iCs/>
          <w:lang w:eastAsia="ja-JP"/>
        </w:rPr>
        <w:t>, stav k 1. lednu 2022. Minulá výkonnost není zárukou budoucích výnosů.</w:t>
      </w:r>
    </w:p>
    <w:p w14:paraId="316193FB" w14:textId="77777777" w:rsidR="00AD2A6D" w:rsidRPr="00AD2A6D" w:rsidRDefault="00AD2A6D" w:rsidP="00AD2A6D">
      <w:pPr>
        <w:jc w:val="right"/>
        <w:rPr>
          <w:rFonts w:ascii="Invesco Interstate Light" w:eastAsia="MS Mincho" w:hAnsi="Invesco Interstate Light"/>
          <w:i/>
          <w:iCs/>
          <w:lang w:eastAsia="ja-JP"/>
        </w:rPr>
      </w:pPr>
    </w:p>
    <w:p w14:paraId="721A0CEC" w14:textId="77777777" w:rsidR="00AD2A6D" w:rsidRPr="00AD2A6D" w:rsidRDefault="00AD2A6D" w:rsidP="00AD2A6D">
      <w:pPr>
        <w:spacing w:line="276" w:lineRule="auto"/>
        <w:jc w:val="both"/>
        <w:rPr>
          <w:rFonts w:ascii="Invesco Interstate Light" w:eastAsia="MS Mincho" w:hAnsi="Invesco Interstate Light"/>
          <w:sz w:val="22"/>
          <w:szCs w:val="22"/>
          <w:lang w:eastAsia="ja-JP"/>
        </w:rPr>
      </w:pPr>
      <w:bookmarkStart w:id="0" w:name="_Hlk127187122"/>
      <w:r w:rsidRPr="00AD2A6D">
        <w:rPr>
          <w:rFonts w:ascii="Invesco Interstate Light" w:eastAsia="MS Mincho" w:hAnsi="Invesco Interstate Light"/>
          <w:sz w:val="22"/>
          <w:szCs w:val="22"/>
          <w:lang w:eastAsia="ja-JP"/>
        </w:rPr>
        <w:t xml:space="preserve">Při pokračujícím oslabování USD se dolarový index DXY vrátil na úrovně z května loňského roku. Za samotný leden index ztratil 1,4 % a od svého nedávného maxima 114,1 v září 2022 tak ztratil 10,5 %. Dolar oslabil od posledního zasedání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 kdy trhy přehodnotily příští zvýšení sazeb z 50 bazických bodů na 25 bazických bodů (</w:t>
      </w:r>
      <w:proofErr w:type="spellStart"/>
      <w:r w:rsidRPr="00AD2A6D">
        <w:rPr>
          <w:rFonts w:ascii="Invesco Interstate Light" w:eastAsia="MS Mincho" w:hAnsi="Invesco Interstate Light"/>
          <w:sz w:val="22"/>
          <w:szCs w:val="22"/>
          <w:lang w:eastAsia="ja-JP"/>
        </w:rPr>
        <w:t>bps</w:t>
      </w:r>
      <w:proofErr w:type="spellEnd"/>
      <w:r w:rsidRPr="00AD2A6D">
        <w:rPr>
          <w:rFonts w:ascii="Invesco Interstate Light" w:eastAsia="MS Mincho" w:hAnsi="Invesco Interstate Light"/>
          <w:sz w:val="22"/>
          <w:szCs w:val="22"/>
          <w:lang w:eastAsia="ja-JP"/>
        </w:rPr>
        <w:t>), a toto přesvědčení v průběhu ledna nabralo na síle. Tato změna způsobila rozšíření úrokových diferenciálů a následné oslabení dolaru. Slabost dolaru tak byla klíčovým faktorem nedávné pozitivní výkonnosti zlata.</w:t>
      </w:r>
    </w:p>
    <w:bookmarkEnd w:id="0"/>
    <w:p w14:paraId="1E26A157" w14:textId="77777777" w:rsidR="00841D7D" w:rsidRDefault="00841D7D" w:rsidP="00AD2A6D">
      <w:pPr>
        <w:spacing w:line="276" w:lineRule="auto"/>
        <w:jc w:val="both"/>
        <w:rPr>
          <w:rFonts w:ascii="Invesco Interstate Light" w:eastAsia="MS Mincho" w:hAnsi="Invesco Interstate Light"/>
          <w:sz w:val="22"/>
          <w:szCs w:val="22"/>
          <w:lang w:eastAsia="ja-JP"/>
        </w:rPr>
      </w:pPr>
    </w:p>
    <w:p w14:paraId="3F010C23" w14:textId="77BE618E" w:rsidR="00BE67F0" w:rsidRPr="00AD2A6D" w:rsidRDefault="00AD2A6D" w:rsidP="00AD2A6D">
      <w:pPr>
        <w:spacing w:line="276" w:lineRule="auto"/>
        <w:jc w:val="both"/>
        <w:rPr>
          <w:rFonts w:ascii="Invesco Interstate Light" w:eastAsia="MS Mincho" w:hAnsi="Invesco Interstate Light"/>
          <w:sz w:val="22"/>
          <w:szCs w:val="22"/>
          <w:lang w:eastAsia="ja-JP"/>
        </w:rPr>
      </w:pPr>
      <w:r w:rsidRPr="00AD2A6D">
        <w:rPr>
          <w:rFonts w:ascii="Invesco Interstate Light" w:eastAsia="MS Mincho" w:hAnsi="Invesco Interstate Light"/>
          <w:sz w:val="22"/>
          <w:szCs w:val="22"/>
          <w:lang w:eastAsia="ja-JP"/>
        </w:rPr>
        <w:t xml:space="preserve">Když se zlato nacházelo na podobných úrovních v dubnu loňského roku, měl Fed relativní výhodu zacenění dalších 75 bazických bodů zvýšení sazeb oproti Bank </w:t>
      </w:r>
      <w:proofErr w:type="spellStart"/>
      <w:r w:rsidRPr="00AD2A6D">
        <w:rPr>
          <w:rFonts w:ascii="Invesco Interstate Light" w:eastAsia="MS Mincho" w:hAnsi="Invesco Interstate Light"/>
          <w:sz w:val="22"/>
          <w:szCs w:val="22"/>
          <w:lang w:eastAsia="ja-JP"/>
        </w:rPr>
        <w:t>of</w:t>
      </w:r>
      <w:proofErr w:type="spellEnd"/>
      <w:r w:rsidRPr="00AD2A6D">
        <w:rPr>
          <w:rFonts w:ascii="Invesco Interstate Light" w:eastAsia="MS Mincho" w:hAnsi="Invesco Interstate Light"/>
          <w:sz w:val="22"/>
          <w:szCs w:val="22"/>
          <w:lang w:eastAsia="ja-JP"/>
        </w:rPr>
        <w:t xml:space="preserve"> </w:t>
      </w:r>
      <w:proofErr w:type="spellStart"/>
      <w:r w:rsidRPr="00AD2A6D">
        <w:rPr>
          <w:rFonts w:ascii="Invesco Interstate Light" w:eastAsia="MS Mincho" w:hAnsi="Invesco Interstate Light"/>
          <w:sz w:val="22"/>
          <w:szCs w:val="22"/>
          <w:lang w:eastAsia="ja-JP"/>
        </w:rPr>
        <w:t>England</w:t>
      </w:r>
      <w:proofErr w:type="spellEnd"/>
      <w:r w:rsidRPr="00AD2A6D">
        <w:rPr>
          <w:rFonts w:ascii="Invesco Interstate Light" w:eastAsia="MS Mincho" w:hAnsi="Invesco Interstate Light"/>
          <w:sz w:val="22"/>
          <w:szCs w:val="22"/>
          <w:lang w:eastAsia="ja-JP"/>
        </w:rPr>
        <w:t xml:space="preserve"> a 50 bazických bodů oproti ECB do konce prognózovaného období. Pokud se podíváme na konec současných prognóz, Bank </w:t>
      </w:r>
      <w:proofErr w:type="spellStart"/>
      <w:r w:rsidRPr="00AD2A6D">
        <w:rPr>
          <w:rFonts w:ascii="Invesco Interstate Light" w:eastAsia="MS Mincho" w:hAnsi="Invesco Interstate Light"/>
          <w:sz w:val="22"/>
          <w:szCs w:val="22"/>
          <w:lang w:eastAsia="ja-JP"/>
        </w:rPr>
        <w:t>of</w:t>
      </w:r>
      <w:proofErr w:type="spellEnd"/>
      <w:r w:rsidRPr="00AD2A6D">
        <w:rPr>
          <w:rFonts w:ascii="Invesco Interstate Light" w:eastAsia="MS Mincho" w:hAnsi="Invesco Interstate Light"/>
          <w:sz w:val="22"/>
          <w:szCs w:val="22"/>
          <w:lang w:eastAsia="ja-JP"/>
        </w:rPr>
        <w:t xml:space="preserve"> </w:t>
      </w:r>
      <w:proofErr w:type="spellStart"/>
      <w:r w:rsidRPr="00AD2A6D">
        <w:rPr>
          <w:rFonts w:ascii="Invesco Interstate Light" w:eastAsia="MS Mincho" w:hAnsi="Invesco Interstate Light"/>
          <w:sz w:val="22"/>
          <w:szCs w:val="22"/>
          <w:lang w:eastAsia="ja-JP"/>
        </w:rPr>
        <w:t>England</w:t>
      </w:r>
      <w:proofErr w:type="spellEnd"/>
      <w:r w:rsidRPr="00AD2A6D">
        <w:rPr>
          <w:rFonts w:ascii="Invesco Interstate Light" w:eastAsia="MS Mincho" w:hAnsi="Invesco Interstate Light"/>
          <w:sz w:val="22"/>
          <w:szCs w:val="22"/>
          <w:lang w:eastAsia="ja-JP"/>
        </w:rPr>
        <w:t xml:space="preserve"> má oproti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 xml:space="preserve"> zaceněno dalších 75 bazických bodů zvýšení a ECB má oproti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 xml:space="preserve"> zaúčtováno 1,5 % zvýšení. Ačkoli je zřejmé, že to naznačuje kvantitativní oslabení dolaru, implikace pro zlato je zkreslena skutečností, že v dubnu loňského roku se zlato nacházelo na sestupu ze svých maxim po invazí na Ukrajinu. Klíčovým tržním tématem je nyní to, že Fed vidí vyšší sazby na konci roku než trhy, a pokud by převážil názor </w:t>
      </w:r>
      <w:proofErr w:type="spellStart"/>
      <w:r w:rsidRPr="00AD2A6D">
        <w:rPr>
          <w:rFonts w:ascii="Invesco Interstate Light" w:eastAsia="MS Mincho" w:hAnsi="Invesco Interstate Light"/>
          <w:sz w:val="22"/>
          <w:szCs w:val="22"/>
          <w:lang w:eastAsia="ja-JP"/>
        </w:rPr>
        <w:t>Fedu</w:t>
      </w:r>
      <w:proofErr w:type="spellEnd"/>
      <w:r w:rsidRPr="00AD2A6D">
        <w:rPr>
          <w:rFonts w:ascii="Invesco Interstate Light" w:eastAsia="MS Mincho" w:hAnsi="Invesco Interstate Light"/>
          <w:sz w:val="22"/>
          <w:szCs w:val="22"/>
          <w:lang w:eastAsia="ja-JP"/>
        </w:rPr>
        <w:t>, očekávané oslabení dolaru by dostalo vážné trhliny.</w:t>
      </w:r>
    </w:p>
    <w:p w14:paraId="263B6618" w14:textId="77777777" w:rsidR="0054027B" w:rsidRDefault="0054027B" w:rsidP="001B54AD">
      <w:pPr>
        <w:spacing w:line="240" w:lineRule="exact"/>
        <w:jc w:val="both"/>
        <w:rPr>
          <w:rFonts w:ascii="Invesco Interstate Light" w:eastAsia="MS Mincho" w:hAnsi="Invesco Interstate Light"/>
          <w:i/>
          <w:iCs/>
          <w:sz w:val="22"/>
          <w:szCs w:val="22"/>
          <w:lang w:eastAsia="ja-JP"/>
        </w:rPr>
      </w:pPr>
    </w:p>
    <w:p w14:paraId="697C0EC3" w14:textId="77777777" w:rsidR="0060123C" w:rsidRDefault="0060123C"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lastRenderedPageBreak/>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sectPr w:rsidR="00BE67F0" w:rsidRPr="00907B79"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C458" w14:textId="77777777" w:rsidR="007864CC" w:rsidRDefault="007864CC">
      <w:r>
        <w:separator/>
      </w:r>
    </w:p>
  </w:endnote>
  <w:endnote w:type="continuationSeparator" w:id="0">
    <w:p w14:paraId="432F8ACB" w14:textId="77777777" w:rsidR="007864CC" w:rsidRDefault="007864CC">
      <w:r>
        <w:continuationSeparator/>
      </w:r>
    </w:p>
  </w:endnote>
  <w:endnote w:type="continuationNotice" w:id="1">
    <w:p w14:paraId="324F39B2" w14:textId="77777777" w:rsidR="007864CC" w:rsidRDefault="00786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342E" w14:textId="77777777" w:rsidR="007864CC" w:rsidRDefault="007864CC">
      <w:r>
        <w:separator/>
      </w:r>
    </w:p>
  </w:footnote>
  <w:footnote w:type="continuationSeparator" w:id="0">
    <w:p w14:paraId="33937D01" w14:textId="77777777" w:rsidR="007864CC" w:rsidRDefault="007864CC">
      <w:r>
        <w:continuationSeparator/>
      </w:r>
    </w:p>
  </w:footnote>
  <w:footnote w:type="continuationNotice" w:id="1">
    <w:p w14:paraId="019904EE" w14:textId="77777777" w:rsidR="007864CC" w:rsidRDefault="00786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5E675603" w:rsidR="00702C33" w:rsidRPr="000730A6" w:rsidRDefault="00AD2A6D" w:rsidP="00EB6787">
    <w:pPr>
      <w:pStyle w:val="Zhlav"/>
      <w:pBdr>
        <w:top w:val="single" w:sz="4" w:space="3" w:color="auto"/>
      </w:pBdr>
      <w:spacing w:line="298" w:lineRule="exact"/>
      <w:ind w:left="3402"/>
      <w:jc w:val="right"/>
      <w:rPr>
        <w:color w:val="000000"/>
        <w:sz w:val="23"/>
        <w:szCs w:val="23"/>
      </w:rPr>
    </w:pPr>
    <w:r>
      <w:rPr>
        <w:color w:val="000000"/>
        <w:sz w:val="23"/>
        <w:szCs w:val="23"/>
      </w:rPr>
      <w:t>1</w:t>
    </w:r>
    <w:r w:rsidR="00965C43">
      <w:rPr>
        <w:color w:val="000000"/>
        <w:sz w:val="23"/>
        <w:szCs w:val="23"/>
      </w:rPr>
      <w:t>4</w:t>
    </w:r>
    <w:r w:rsidR="001B54AD">
      <w:rPr>
        <w:color w:val="000000"/>
        <w:sz w:val="23"/>
        <w:szCs w:val="23"/>
      </w:rPr>
      <w:t xml:space="preserve">. </w:t>
    </w:r>
    <w:r w:rsidR="00D218DD">
      <w:rPr>
        <w:color w:val="000000"/>
        <w:sz w:val="23"/>
        <w:szCs w:val="23"/>
      </w:rPr>
      <w:t>0</w:t>
    </w:r>
    <w:r w:rsidR="0054027B">
      <w:rPr>
        <w:color w:val="000000"/>
        <w:sz w:val="23"/>
        <w:szCs w:val="23"/>
      </w:rPr>
      <w:t>2</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E5380B"/>
    <w:multiLevelType w:val="multilevel"/>
    <w:tmpl w:val="11820CCE"/>
    <w:numStyleLink w:val="FormatvorlageAufgezhlt"/>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18"/>
  </w:num>
  <w:num w:numId="4" w16cid:durableId="1482650028">
    <w:abstractNumId w:val="12"/>
  </w:num>
  <w:num w:numId="5" w16cid:durableId="1143234631">
    <w:abstractNumId w:val="14"/>
  </w:num>
  <w:num w:numId="6" w16cid:durableId="700011805">
    <w:abstractNumId w:val="20"/>
  </w:num>
  <w:num w:numId="7" w16cid:durableId="1937514415">
    <w:abstractNumId w:val="21"/>
  </w:num>
  <w:num w:numId="8" w16cid:durableId="139002878">
    <w:abstractNumId w:val="1"/>
  </w:num>
  <w:num w:numId="9" w16cid:durableId="2090539373">
    <w:abstractNumId w:val="23"/>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7"/>
  </w:num>
  <w:num w:numId="14" w16cid:durableId="2022392648">
    <w:abstractNumId w:val="28"/>
  </w:num>
  <w:num w:numId="15" w16cid:durableId="1519849674">
    <w:abstractNumId w:val="17"/>
  </w:num>
  <w:num w:numId="16" w16cid:durableId="203373030">
    <w:abstractNumId w:val="5"/>
  </w:num>
  <w:num w:numId="17" w16cid:durableId="1638994918">
    <w:abstractNumId w:val="2"/>
  </w:num>
  <w:num w:numId="18" w16cid:durableId="1485703307">
    <w:abstractNumId w:val="19"/>
  </w:num>
  <w:num w:numId="19" w16cid:durableId="1272739652">
    <w:abstractNumId w:val="22"/>
  </w:num>
  <w:num w:numId="20" w16cid:durableId="1461148382">
    <w:abstractNumId w:val="25"/>
  </w:num>
  <w:num w:numId="21" w16cid:durableId="1611467497">
    <w:abstractNumId w:val="24"/>
  </w:num>
  <w:num w:numId="22" w16cid:durableId="1455978194">
    <w:abstractNumId w:val="9"/>
  </w:num>
  <w:num w:numId="23" w16cid:durableId="1379084372">
    <w:abstractNumId w:val="15"/>
  </w:num>
  <w:num w:numId="24" w16cid:durableId="573199580">
    <w:abstractNumId w:val="13"/>
  </w:num>
  <w:num w:numId="25" w16cid:durableId="403993204">
    <w:abstractNumId w:val="26"/>
  </w:num>
  <w:num w:numId="26" w16cid:durableId="574096096">
    <w:abstractNumId w:val="8"/>
  </w:num>
  <w:num w:numId="27" w16cid:durableId="231043340">
    <w:abstractNumId w:val="7"/>
  </w:num>
  <w:num w:numId="28" w16cid:durableId="1709407271">
    <w:abstractNumId w:val="16"/>
  </w:num>
  <w:num w:numId="29" w16cid:durableId="98084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7D8"/>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CCD"/>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64CC"/>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A3D"/>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1E1D"/>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5C43"/>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6D"/>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4263"/>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0623"/>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5255</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2023-02-14T08:05:00Z</dcterms:created>
  <dcterms:modified xsi:type="dcterms:W3CDTF">2023-02-14T08:05:00Z</dcterms:modified>
</cp:coreProperties>
</file>