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6DEAE3AC" w:rsidR="00155BFB" w:rsidRPr="00895A4F" w:rsidRDefault="00F55F66" w:rsidP="00290654">
      <w:pPr>
        <w:rPr>
          <w:rFonts w:ascii="Arial Black" w:hAnsi="Arial Black"/>
          <w:caps/>
          <w:color w:val="E9041E"/>
          <w:sz w:val="50"/>
          <w:szCs w:val="50"/>
        </w:rPr>
      </w:pPr>
      <w:bookmarkStart w:id="0" w:name="_Hlk112830113"/>
      <w:bookmarkStart w:id="1" w:name="_Hlk110507859"/>
      <w:r w:rsidRPr="00F55F66">
        <w:rPr>
          <w:rFonts w:ascii="Arial Black" w:hAnsi="Arial Black"/>
          <w:color w:val="E9041E"/>
          <w:sz w:val="50"/>
          <w:szCs w:val="50"/>
        </w:rPr>
        <w:t>Komerční banka financuje udržitelné technologie v Teplárně České Budějovice</w:t>
      </w:r>
      <w:r w:rsidRPr="007E1AEA">
        <w:rPr>
          <w:b/>
        </w:rPr>
        <w:t xml:space="preserve"> </w:t>
      </w:r>
      <w:bookmarkEnd w:id="0"/>
    </w:p>
    <w:p w14:paraId="2E3960D0" w14:textId="0F51FFE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C85D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2333DB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C01AF6">
        <w:rPr>
          <w:rFonts w:ascii="Calibri" w:hAnsi="Calibri" w:cs="Calibri"/>
          <w:sz w:val="30"/>
          <w:szCs w:val="30"/>
        </w:rPr>
        <w:t>31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2333DB">
        <w:rPr>
          <w:rFonts w:ascii="Calibri" w:hAnsi="Calibri" w:cs="Calibri"/>
          <w:sz w:val="30"/>
          <w:szCs w:val="30"/>
        </w:rPr>
        <w:t>srpna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50E75067" w14:textId="77777777" w:rsidR="006E0AF3" w:rsidRDefault="00F55F66" w:rsidP="006E0AF3">
      <w:pPr>
        <w:spacing w:after="0" w:line="276" w:lineRule="auto"/>
        <w:jc w:val="both"/>
        <w:rPr>
          <w:rFonts w:ascii="Arial CE" w:hAnsi="Arial CE" w:cstheme="minorHAnsi"/>
          <w:b/>
          <w:bCs/>
          <w:sz w:val="24"/>
          <w:szCs w:val="24"/>
        </w:rPr>
      </w:pPr>
      <w:r w:rsidRPr="00FE2918">
        <w:rPr>
          <w:rFonts w:ascii="Arial CE" w:hAnsi="Arial CE" w:cstheme="minorHAnsi"/>
          <w:b/>
          <w:bCs/>
          <w:sz w:val="24"/>
          <w:szCs w:val="24"/>
        </w:rPr>
        <w:t>Komerční banka a Teplárna České Budějovice uzavřely smlouv</w:t>
      </w:r>
      <w:r w:rsidR="00FE2918">
        <w:rPr>
          <w:rFonts w:ascii="Arial CE" w:hAnsi="Arial CE" w:cstheme="minorHAnsi"/>
          <w:b/>
          <w:bCs/>
          <w:sz w:val="24"/>
          <w:szCs w:val="24"/>
        </w:rPr>
        <w:t>u</w:t>
      </w:r>
      <w:r w:rsidRPr="00FE2918">
        <w:rPr>
          <w:rFonts w:ascii="Arial CE" w:hAnsi="Arial CE" w:cstheme="minorHAnsi"/>
          <w:b/>
          <w:bCs/>
          <w:sz w:val="24"/>
          <w:szCs w:val="24"/>
        </w:rPr>
        <w:t xml:space="preserve"> o financování parního kotle na spalování dřevní štěpky. Výše úvěru je 1,6 miliardy korun se splatností v roce 2039.</w:t>
      </w:r>
    </w:p>
    <w:p w14:paraId="22033272" w14:textId="77777777" w:rsidR="006E0AF3" w:rsidRDefault="006E0AF3" w:rsidP="006E0AF3">
      <w:pPr>
        <w:autoSpaceDE w:val="0"/>
        <w:autoSpaceDN w:val="0"/>
        <w:adjustRightInd w:val="0"/>
        <w:spacing w:after="0" w:line="240" w:lineRule="auto"/>
        <w:jc w:val="both"/>
        <w:rPr>
          <w:rFonts w:ascii="Arial CE" w:eastAsia="Arial" w:hAnsi="Arial CE" w:cstheme="minorHAnsi"/>
          <w:bCs/>
          <w:sz w:val="24"/>
          <w:szCs w:val="24"/>
          <w:lang w:eastAsia="cs-CZ"/>
        </w:rPr>
      </w:pPr>
    </w:p>
    <w:p w14:paraId="007EE6F2" w14:textId="77777777" w:rsidR="00875F68" w:rsidRDefault="00FE2918" w:rsidP="00C01AF6">
      <w:pPr>
        <w:autoSpaceDE w:val="0"/>
        <w:autoSpaceDN w:val="0"/>
        <w:adjustRightInd w:val="0"/>
        <w:spacing w:after="0" w:line="276" w:lineRule="auto"/>
        <w:jc w:val="both"/>
        <w:rPr>
          <w:rFonts w:ascii="Arial CE" w:eastAsia="Arial" w:hAnsi="Arial CE" w:cstheme="minorHAnsi"/>
          <w:bCs/>
          <w:sz w:val="24"/>
          <w:szCs w:val="24"/>
          <w:lang w:eastAsia="cs-CZ"/>
        </w:rPr>
      </w:pPr>
      <w:r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Strategickou ambicí Komerční banky je 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b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ý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t l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drem v oblasti udr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ž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iteln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ý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ch investic na 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č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esk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é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m finan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č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n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m trhu a v r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á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mci skupiny SG a b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ý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t v 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Č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esk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é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republice vn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m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á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ni jako</w:t>
      </w:r>
      <w:r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ud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r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ž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iteln</w:t>
      </w:r>
      <w:r w:rsidRPr="00FE2918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á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banka.</w:t>
      </w:r>
      <w:r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V rámci 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těchto cílů se banka zaměřuje na podporu 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ú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spory energi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ve firm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á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ch i ve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ř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ejn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é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m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sektoru, p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ř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echod na obnoviteln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é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zdroje energi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nebo 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ú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spora vody v pr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ů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myslu a zadr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ž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ov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á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n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í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vody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v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 </w:t>
      </w:r>
      <w:r w:rsidR="006E0AF3" w:rsidRP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krajin</w:t>
      </w:r>
      <w:r w:rsidR="006E0AF3" w:rsidRPr="006E0AF3">
        <w:rPr>
          <w:rFonts w:ascii="Arial CE" w:eastAsia="Arial" w:hAnsi="Arial CE" w:cstheme="minorHAnsi" w:hint="eastAsia"/>
          <w:bCs/>
          <w:sz w:val="24"/>
          <w:szCs w:val="24"/>
          <w:lang w:eastAsia="cs-CZ"/>
        </w:rPr>
        <w:t>ě</w:t>
      </w:r>
      <w:r w:rsidR="006E0AF3">
        <w:rPr>
          <w:rFonts w:ascii="Arial CE" w:eastAsia="Arial" w:hAnsi="Arial CE" w:cstheme="minorHAnsi"/>
          <w:bCs/>
          <w:sz w:val="24"/>
          <w:szCs w:val="24"/>
          <w:lang w:eastAsia="cs-CZ"/>
        </w:rPr>
        <w:t>.</w:t>
      </w:r>
    </w:p>
    <w:p w14:paraId="3AA92510" w14:textId="503E0047" w:rsidR="00F55F66" w:rsidRDefault="00875F68" w:rsidP="00C01AF6">
      <w:pPr>
        <w:autoSpaceDE w:val="0"/>
        <w:autoSpaceDN w:val="0"/>
        <w:adjustRightInd w:val="0"/>
        <w:spacing w:after="0" w:line="276" w:lineRule="auto"/>
        <w:jc w:val="both"/>
        <w:rPr>
          <w:rFonts w:ascii="Arial CE" w:eastAsia="Times New Roman" w:hAnsi="Arial CE" w:cstheme="minorHAnsi"/>
          <w:sz w:val="24"/>
          <w:szCs w:val="24"/>
          <w:lang w:eastAsia="cs-CZ"/>
        </w:rPr>
      </w:pPr>
      <w:r>
        <w:rPr>
          <w:rFonts w:ascii="Arial CE" w:eastAsia="Arial" w:hAnsi="Arial CE" w:cstheme="minorHAnsi"/>
          <w:bCs/>
          <w:sz w:val="24"/>
          <w:szCs w:val="24"/>
          <w:lang w:eastAsia="cs-CZ"/>
        </w:rPr>
        <w:br/>
      </w:r>
      <w:r w:rsid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„Naším cílem je chovat se zodpovědně k prostředí, v kterém žijeme a podnikáme. </w:t>
      </w:r>
      <w:r w:rsidR="00B45366" w:rsidRP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>V podobných projektec</w:t>
      </w:r>
      <w:r w:rsidR="001B0943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h, které jsou zaměřeny na energetickou transformaci </w:t>
      </w:r>
      <w:r w:rsidR="00B45366">
        <w:rPr>
          <w:rFonts w:ascii="Arial CE" w:eastAsia="Times New Roman" w:hAnsi="Arial CE" w:cstheme="minorHAnsi"/>
          <w:i/>
          <w:sz w:val="24"/>
          <w:szCs w:val="24"/>
          <w:lang w:eastAsia="cs-CZ"/>
        </w:rPr>
        <w:t>mohou klienti KB vždy počítat s naší plnou podporou</w:t>
      </w:r>
      <w:r w:rsid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. </w:t>
      </w:r>
      <w:r>
        <w:rPr>
          <w:rFonts w:ascii="Arial CE" w:eastAsia="Times New Roman" w:hAnsi="Arial CE" w:cstheme="minorHAnsi"/>
          <w:i/>
          <w:sz w:val="24"/>
          <w:szCs w:val="24"/>
          <w:lang w:eastAsia="cs-CZ"/>
        </w:rPr>
        <w:t>S</w:t>
      </w:r>
      <w:r w:rsid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>kutečnost, že nezůstává pouze u slov</w:t>
      </w:r>
      <w:r w:rsidR="001250B9">
        <w:rPr>
          <w:rFonts w:ascii="Arial CE" w:eastAsia="Times New Roman" w:hAnsi="Arial CE" w:cstheme="minorHAnsi"/>
          <w:i/>
          <w:sz w:val="24"/>
          <w:szCs w:val="24"/>
          <w:lang w:eastAsia="cs-CZ"/>
        </w:rPr>
        <w:t>,</w:t>
      </w:r>
      <w:r w:rsid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 je nárůst zájmu o financování </w:t>
      </w:r>
      <w:r w:rsidR="00C17D7B" w:rsidRP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>projekt</w:t>
      </w:r>
      <w:r w:rsidR="00C17D7B" w:rsidRPr="00C17D7B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ů</w:t>
      </w:r>
      <w:r w:rsidR="00C17D7B" w:rsidRP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 s jasn</w:t>
      </w:r>
      <w:r w:rsidR="00C17D7B" w:rsidRPr="00C17D7B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ě</w:t>
      </w:r>
      <w:r w:rsidR="00C17D7B" w:rsidRP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 definovan</w:t>
      </w:r>
      <w:r w:rsidR="00C17D7B" w:rsidRPr="00C17D7B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ý</w:t>
      </w:r>
      <w:r w:rsidR="00C17D7B" w:rsidRPr="00C17D7B">
        <w:rPr>
          <w:rFonts w:ascii="Arial CE" w:eastAsia="Times New Roman" w:hAnsi="Arial CE" w:cstheme="minorHAnsi"/>
          <w:i/>
          <w:sz w:val="24"/>
          <w:szCs w:val="24"/>
          <w:lang w:eastAsia="cs-CZ"/>
        </w:rPr>
        <w:t>m</w:t>
      </w:r>
      <w:r>
        <w:rPr>
          <w:rFonts w:ascii="Arial CE" w:eastAsia="Times New Roman" w:hAnsi="Arial CE" w:cstheme="minorHAnsi"/>
          <w:i/>
          <w:sz w:val="24"/>
          <w:szCs w:val="24"/>
          <w:lang w:eastAsia="cs-CZ"/>
        </w:rPr>
        <w:t xml:space="preserve"> 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pozitivn</w:t>
      </w:r>
      <w:r w:rsidR="00C17D7B" w:rsidRPr="00875F68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í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m environment</w:t>
      </w:r>
      <w:r w:rsidR="00C17D7B" w:rsidRPr="00875F68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á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ln</w:t>
      </w:r>
      <w:r w:rsidR="00C17D7B" w:rsidRPr="00875F68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í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m nebo soci</w:t>
      </w:r>
      <w:r w:rsidR="00C17D7B" w:rsidRPr="00875F68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á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ln</w:t>
      </w:r>
      <w:r w:rsidR="00C17D7B" w:rsidRPr="00875F68">
        <w:rPr>
          <w:rFonts w:ascii="Arial CE" w:eastAsia="Times New Roman" w:hAnsi="Arial CE" w:cstheme="minorHAnsi" w:hint="eastAsia"/>
          <w:i/>
          <w:sz w:val="24"/>
          <w:szCs w:val="24"/>
          <w:lang w:eastAsia="cs-CZ"/>
        </w:rPr>
        <w:t>í</w:t>
      </w:r>
      <w:r w:rsidR="00C17D7B" w:rsidRPr="00875F68">
        <w:rPr>
          <w:rFonts w:ascii="Arial CE" w:eastAsia="Times New Roman" w:hAnsi="Arial CE" w:cstheme="minorHAnsi"/>
          <w:i/>
          <w:sz w:val="24"/>
          <w:szCs w:val="24"/>
          <w:lang w:eastAsia="cs-CZ"/>
        </w:rPr>
        <w:t>m dopadem</w:t>
      </w:r>
      <w:r w:rsidR="00F55F66" w:rsidRPr="00FE2918">
        <w:rPr>
          <w:rFonts w:ascii="Arial CE" w:eastAsia="Times New Roman" w:hAnsi="Arial CE" w:cstheme="minorHAnsi"/>
          <w:i/>
          <w:sz w:val="24"/>
          <w:szCs w:val="24"/>
          <w:lang w:eastAsia="cs-CZ"/>
        </w:rPr>
        <w:t>,“</w:t>
      </w:r>
      <w:r w:rsidR="00F55F66" w:rsidRPr="00FE2918">
        <w:rPr>
          <w:rFonts w:ascii="Arial CE" w:eastAsia="Times New Roman" w:hAnsi="Arial CE" w:cstheme="minorHAnsi"/>
          <w:sz w:val="24"/>
          <w:szCs w:val="24"/>
          <w:lang w:eastAsia="cs-CZ"/>
        </w:rPr>
        <w:t xml:space="preserve"> uvedla </w:t>
      </w:r>
      <w:r w:rsidR="00F55F66" w:rsidRPr="00C01AF6">
        <w:rPr>
          <w:rFonts w:ascii="Arial CE" w:eastAsia="Times New Roman" w:hAnsi="Arial CE" w:cstheme="minorHAnsi"/>
          <w:sz w:val="24"/>
          <w:szCs w:val="24"/>
          <w:lang w:eastAsia="cs-CZ"/>
        </w:rPr>
        <w:t>Radka Turková, výkonná ředitelka pro Korporátní a municipální bankovnictví Komerční banky.</w:t>
      </w:r>
    </w:p>
    <w:p w14:paraId="05E819B2" w14:textId="560EC8BA" w:rsidR="00B45366" w:rsidRPr="00FE2918" w:rsidRDefault="00B45366" w:rsidP="00C01AF6">
      <w:pPr>
        <w:spacing w:before="120" w:after="0" w:line="276" w:lineRule="auto"/>
        <w:jc w:val="both"/>
        <w:rPr>
          <w:rFonts w:ascii="Arial CE" w:eastAsia="Arial" w:hAnsi="Arial CE" w:cstheme="minorHAnsi"/>
          <w:bCs/>
          <w:sz w:val="24"/>
          <w:szCs w:val="24"/>
          <w:lang w:eastAsia="cs-CZ"/>
        </w:rPr>
      </w:pP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Teplárna České Budějovice zajišťuje</w:t>
      </w:r>
      <w:r w:rsidR="007A437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prostřednictvím vlastní distribuční sítě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základní dodávku tepla a teplé vody pro </w:t>
      </w:r>
      <w:r w:rsidR="007A4378">
        <w:rPr>
          <w:rFonts w:ascii="Arial CE" w:eastAsia="Arial" w:hAnsi="Arial CE" w:cstheme="minorHAnsi"/>
          <w:bCs/>
          <w:sz w:val="24"/>
          <w:szCs w:val="24"/>
          <w:lang w:eastAsia="cs-CZ"/>
        </w:rPr>
        <w:t>krajské město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. Zásobování průmyslových podniků</w:t>
      </w:r>
      <w:r w:rsidR="00F07D4C">
        <w:rPr>
          <w:rFonts w:ascii="Arial CE" w:eastAsia="Arial" w:hAnsi="Arial CE" w:cstheme="minorHAnsi"/>
          <w:bCs/>
          <w:sz w:val="24"/>
          <w:szCs w:val="24"/>
          <w:lang w:eastAsia="cs-CZ"/>
        </w:rPr>
        <w:t>, škol, nemocnice a dalších institucí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tvořilo v roce 2021 více než polovinu celkových dodávek tepla. </w:t>
      </w:r>
      <w:r w:rsidR="00F07D4C">
        <w:rPr>
          <w:rFonts w:ascii="Arial CE" w:eastAsia="Arial" w:hAnsi="Arial CE" w:cstheme="minorHAnsi"/>
          <w:bCs/>
          <w:sz w:val="24"/>
          <w:szCs w:val="24"/>
          <w:lang w:eastAsia="cs-CZ"/>
        </w:rPr>
        <w:t>Jeho produkce probíhá při tzv. kogenerační výrobě společně s elektřinou. Tato vysokoúčinná s</w:t>
      </w:r>
      <w:r w:rsidR="00AD448B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oustava je též sdílena 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pro vytápění a zásobování teplou vodou v domácnostech. </w:t>
      </w:r>
    </w:p>
    <w:p w14:paraId="674EB712" w14:textId="76611373" w:rsidR="0013160A" w:rsidRPr="00EF3281" w:rsidRDefault="003734A0" w:rsidP="00C01AF6">
      <w:pPr>
        <w:spacing w:before="120" w:after="0" w:line="276" w:lineRule="auto"/>
        <w:jc w:val="both"/>
        <w:rPr>
          <w:rStyle w:val="m4368044888884785204null1"/>
          <w:rFonts w:ascii="Arial CE" w:hAnsi="Arial CE" w:cstheme="minorHAnsi"/>
          <w:sz w:val="24"/>
          <w:szCs w:val="24"/>
        </w:rPr>
      </w:pP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„Odpovědný přístup k životnímu prostředí při bezpečných nepřetržitých dodávkách energií za stabilní a udržitelné ceny jsou základem naší Strategie pro zelené město. Tato koncepce dlouhodobé podnikatelské činnosti byla v roce 2020 jednomyslně schválena orgány 100% akcionáře, kterým je Statutární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město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České Budějovice. Cílem je </w:t>
      </w:r>
      <w:r w:rsidR="00806BD8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kompletní 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výměna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d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osluhujících hnědouhelných kotlů 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z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a 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bezemisní zdroje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, jakým bude horkovodní 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lastRenderedPageBreak/>
        <w:t>napáječ z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 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nedaleké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Jaderné elektrárny Temelín</w:t>
      </w:r>
      <w:r w:rsidR="00AA3B95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,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a 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z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a 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lokální </w:t>
      </w:r>
      <w:r w:rsidR="00C624B3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obnovitelné zdroje energie</w:t>
      </w:r>
      <w:r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.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Prvním projektem v časovém sledu je s pomocí Komerční banky zahájená výstavba kotle na</w:t>
      </w:r>
      <w:r w:rsidR="00806BD8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biomasu v podobě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dřevní štěpk</w:t>
      </w:r>
      <w:r w:rsidR="00806BD8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y. Ta se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v krajské metropoli</w:t>
      </w:r>
      <w:r w:rsidR="00AA3B95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ležící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uprostřed </w:t>
      </w:r>
      <w:r w:rsidR="00D75A25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zalesněného regionu </w:t>
      </w:r>
      <w:r w:rsidR="00170338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nabízí jako přirozené 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místní paliv</w:t>
      </w:r>
      <w:r w:rsidR="00170338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o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. V přípravě je rovněž projekt na </w:t>
      </w:r>
      <w:r w:rsidR="006627F1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realizaci</w:t>
      </w:r>
      <w:r w:rsidR="00D75A25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moderního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 zařízení na energetické využívání odpadů (ZEVO) </w:t>
      </w:r>
      <w:r w:rsidR="00D75A25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s kapacitou určenou primárně pro města a obce v Jihočeském kraji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. Spolupráce s Komerční bankou je pro nás důležitá a přínosná</w:t>
      </w:r>
      <w:r w:rsid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>,</w:t>
      </w:r>
      <w:r w:rsidR="003518DB" w:rsidRPr="00C01AF6">
        <w:rPr>
          <w:rStyle w:val="m4368044888884785204null1"/>
          <w:rFonts w:ascii="Arial CE" w:hAnsi="Arial CE" w:cstheme="minorHAnsi"/>
          <w:i/>
          <w:iCs/>
          <w:sz w:val="24"/>
          <w:szCs w:val="24"/>
        </w:rPr>
        <w:t xml:space="preserve">“ </w:t>
      </w:r>
      <w:r w:rsidR="003518DB" w:rsidRPr="00EF3281">
        <w:rPr>
          <w:rStyle w:val="m4368044888884785204null1"/>
          <w:rFonts w:ascii="Arial CE" w:hAnsi="Arial CE" w:cstheme="minorHAnsi"/>
          <w:sz w:val="24"/>
          <w:szCs w:val="24"/>
        </w:rPr>
        <w:t>konstat</w:t>
      </w:r>
      <w:r w:rsidR="00C01AF6" w:rsidRPr="00EF3281">
        <w:rPr>
          <w:rStyle w:val="m4368044888884785204null1"/>
          <w:rFonts w:ascii="Arial CE" w:hAnsi="Arial CE" w:cstheme="minorHAnsi"/>
          <w:sz w:val="24"/>
          <w:szCs w:val="24"/>
        </w:rPr>
        <w:t>oval</w:t>
      </w:r>
      <w:r w:rsidR="003518DB" w:rsidRPr="00EF3281">
        <w:rPr>
          <w:rStyle w:val="m4368044888884785204null1"/>
          <w:rFonts w:ascii="Arial CE" w:hAnsi="Arial CE" w:cstheme="minorHAnsi"/>
          <w:sz w:val="24"/>
          <w:szCs w:val="24"/>
        </w:rPr>
        <w:t xml:space="preserve"> Václav Král, předseda představenstva </w:t>
      </w:r>
      <w:r w:rsidR="003E17C8" w:rsidRPr="00EF3281">
        <w:rPr>
          <w:rStyle w:val="m4368044888884785204null1"/>
          <w:rFonts w:ascii="Arial CE" w:hAnsi="Arial CE" w:cstheme="minorHAnsi"/>
          <w:sz w:val="24"/>
          <w:szCs w:val="24"/>
        </w:rPr>
        <w:t>městské teplárny</w:t>
      </w:r>
      <w:r w:rsidR="003518DB" w:rsidRPr="00EF3281">
        <w:rPr>
          <w:rStyle w:val="m4368044888884785204null1"/>
          <w:rFonts w:ascii="Arial CE" w:hAnsi="Arial CE" w:cstheme="minorHAnsi"/>
          <w:sz w:val="24"/>
          <w:szCs w:val="24"/>
        </w:rPr>
        <w:t xml:space="preserve">. </w:t>
      </w:r>
      <w:r w:rsidRPr="00EF3281">
        <w:rPr>
          <w:rStyle w:val="m4368044888884785204null1"/>
          <w:rFonts w:ascii="Arial CE" w:hAnsi="Arial CE" w:cstheme="minorHAnsi"/>
          <w:sz w:val="24"/>
          <w:szCs w:val="24"/>
        </w:rPr>
        <w:t xml:space="preserve">  </w:t>
      </w:r>
    </w:p>
    <w:p w14:paraId="3D0C09A2" w14:textId="0634AF14" w:rsidR="00F55F66" w:rsidRPr="00FE2918" w:rsidRDefault="00F55F66" w:rsidP="00C01AF6">
      <w:pPr>
        <w:spacing w:before="120" w:after="0" w:line="276" w:lineRule="auto"/>
        <w:jc w:val="both"/>
        <w:rPr>
          <w:rFonts w:ascii="Arial CE" w:eastAsia="Arial" w:hAnsi="Arial CE" w:cstheme="minorHAnsi"/>
          <w:bCs/>
          <w:sz w:val="24"/>
          <w:szCs w:val="24"/>
          <w:lang w:eastAsia="cs-CZ"/>
        </w:rPr>
      </w:pP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Komerční banka trvale pracuje na nabídce produktů a služeb v oblasti udržitelných financí. V rámci podpory zájmu firem i veřejného sektoru nabízí širokou škálu</w:t>
      </w:r>
      <w:r w:rsidR="00C277BF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 /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celou škálu</w:t>
      </w:r>
      <w:r w:rsidR="00C277BF">
        <w:rPr>
          <w:rFonts w:ascii="Arial CE" w:eastAsia="Arial" w:hAnsi="Arial CE" w:cstheme="minorHAnsi"/>
          <w:bCs/>
          <w:sz w:val="24"/>
          <w:szCs w:val="24"/>
          <w:lang w:eastAsia="cs-CZ"/>
        </w:rPr>
        <w:t xml:space="preserve">/ </w:t>
      </w:r>
      <w:r w:rsidRPr="00FE2918">
        <w:rPr>
          <w:rFonts w:ascii="Arial CE" w:eastAsia="Arial" w:hAnsi="Arial CE" w:cstheme="minorHAnsi"/>
          <w:bCs/>
          <w:sz w:val="24"/>
          <w:szCs w:val="24"/>
          <w:lang w:eastAsia="cs-CZ"/>
        </w:rPr>
        <w:t>poradenských služeb, a to nejen v oblasti komplexního finančního poradenství, ale i dotačního poradenství, poradenství v oblastech energetiky, obnovitelných zdrojů nebo celkově při nastavení strategie udržitelnosti klienta.</w:t>
      </w:r>
    </w:p>
    <w:p w14:paraId="643AFD67" w14:textId="77777777" w:rsidR="00F55F66" w:rsidRDefault="00F55F66" w:rsidP="001F2600">
      <w:pPr>
        <w:spacing w:before="200" w:after="0" w:line="260" w:lineRule="exact"/>
        <w:jc w:val="both"/>
        <w:rPr>
          <w:rFonts w:cstheme="minorHAnsi"/>
        </w:rPr>
      </w:pPr>
    </w:p>
    <w:bookmarkEnd w:id="1"/>
    <w:p w14:paraId="3241BCAA" w14:textId="0665EB53" w:rsidR="00160708" w:rsidRDefault="001F2600" w:rsidP="00160708">
      <w:pPr>
        <w:spacing w:after="0" w:line="240" w:lineRule="auto"/>
        <w:jc w:val="both"/>
      </w:pPr>
      <w:r>
        <w:rPr>
          <w:rFonts w:cstheme="minorHAnsi"/>
          <w:b/>
          <w:bCs/>
        </w:rPr>
        <w:br/>
      </w:r>
      <w:r w:rsidR="00160708">
        <w:rPr>
          <w:rFonts w:cstheme="minorHAnsi"/>
          <w:b/>
          <w:bCs/>
        </w:rPr>
        <w:t>Pavel Zúbek</w:t>
      </w:r>
    </w:p>
    <w:p w14:paraId="1EEF811A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653896E3" w14:textId="77777777" w:rsidR="00160708" w:rsidRDefault="00160708" w:rsidP="0016070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7017781" w14:textId="77777777" w:rsidR="00160708" w:rsidRPr="00A05029" w:rsidRDefault="00000000" w:rsidP="00160708">
      <w:pPr>
        <w:spacing w:after="0" w:line="240" w:lineRule="auto"/>
        <w:rPr>
          <w:rFonts w:cstheme="minorHAnsi"/>
          <w:color w:val="FF0000"/>
          <w:u w:val="single"/>
        </w:rPr>
      </w:pPr>
      <w:hyperlink r:id="rId10" w:history="1">
        <w:r w:rsidR="00160708">
          <w:rPr>
            <w:rStyle w:val="Hypertextovodkaz"/>
            <w:rFonts w:cstheme="minorHAnsi"/>
          </w:rPr>
          <w:t>pavel_zubek@kb.cz</w:t>
        </w:r>
      </w:hyperlink>
    </w:p>
    <w:p w14:paraId="31D61B4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6663CA9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8B41" w14:textId="77777777" w:rsidR="00E658DA" w:rsidRDefault="00E658DA" w:rsidP="00A84CE4">
      <w:pPr>
        <w:spacing w:after="0" w:line="240" w:lineRule="auto"/>
      </w:pPr>
      <w:r>
        <w:separator/>
      </w:r>
    </w:p>
  </w:endnote>
  <w:endnote w:type="continuationSeparator" w:id="0">
    <w:p w14:paraId="129082AF" w14:textId="77777777" w:rsidR="00E658DA" w:rsidRDefault="00E658DA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8F3AAA" w:rsidRPr="00C316F8" w:rsidRDefault="008F3AAA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8F3AAA" w:rsidRPr="00AE3F5C" w:rsidRDefault="008F3AAA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98A577D" w14:textId="77777777" w:rsidR="008F3AAA" w:rsidRPr="00AE3F5C" w:rsidRDefault="008F3AAA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1B32E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922" w14:textId="77777777" w:rsidR="00E658DA" w:rsidRDefault="00E658DA" w:rsidP="00A84CE4">
      <w:pPr>
        <w:spacing w:after="0" w:line="240" w:lineRule="auto"/>
      </w:pPr>
      <w:r>
        <w:separator/>
      </w:r>
    </w:p>
  </w:footnote>
  <w:footnote w:type="continuationSeparator" w:id="0">
    <w:p w14:paraId="09B3F57A" w14:textId="77777777" w:rsidR="00E658DA" w:rsidRDefault="00E658DA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77777777" w:rsidR="008F3AAA" w:rsidRDefault="008F3A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51"/>
    <w:rsid w:val="00060051"/>
    <w:rsid w:val="0008012A"/>
    <w:rsid w:val="00095CF9"/>
    <w:rsid w:val="000C2C66"/>
    <w:rsid w:val="001250B9"/>
    <w:rsid w:val="0013160A"/>
    <w:rsid w:val="00134660"/>
    <w:rsid w:val="0015240D"/>
    <w:rsid w:val="00155BFB"/>
    <w:rsid w:val="00160708"/>
    <w:rsid w:val="00170338"/>
    <w:rsid w:val="001845F6"/>
    <w:rsid w:val="001B0943"/>
    <w:rsid w:val="001F2600"/>
    <w:rsid w:val="002333DB"/>
    <w:rsid w:val="00273331"/>
    <w:rsid w:val="00283C19"/>
    <w:rsid w:val="00290654"/>
    <w:rsid w:val="002C0764"/>
    <w:rsid w:val="003518DB"/>
    <w:rsid w:val="003734A0"/>
    <w:rsid w:val="00382508"/>
    <w:rsid w:val="003841BB"/>
    <w:rsid w:val="003E17C8"/>
    <w:rsid w:val="00422452"/>
    <w:rsid w:val="0043328B"/>
    <w:rsid w:val="00464800"/>
    <w:rsid w:val="004A1212"/>
    <w:rsid w:val="004E520C"/>
    <w:rsid w:val="004F1356"/>
    <w:rsid w:val="005061E7"/>
    <w:rsid w:val="00506E77"/>
    <w:rsid w:val="005454AB"/>
    <w:rsid w:val="005934B6"/>
    <w:rsid w:val="005A246C"/>
    <w:rsid w:val="005F4AE0"/>
    <w:rsid w:val="00656B31"/>
    <w:rsid w:val="006627F1"/>
    <w:rsid w:val="006B279A"/>
    <w:rsid w:val="006B7B1D"/>
    <w:rsid w:val="006C24B6"/>
    <w:rsid w:val="006E0AF3"/>
    <w:rsid w:val="006E3BF6"/>
    <w:rsid w:val="006F159F"/>
    <w:rsid w:val="00715AC8"/>
    <w:rsid w:val="007555A0"/>
    <w:rsid w:val="00766C5E"/>
    <w:rsid w:val="007A4378"/>
    <w:rsid w:val="007C3E13"/>
    <w:rsid w:val="007D4E34"/>
    <w:rsid w:val="00806BD8"/>
    <w:rsid w:val="00806C14"/>
    <w:rsid w:val="008658B4"/>
    <w:rsid w:val="00875F68"/>
    <w:rsid w:val="00895A4F"/>
    <w:rsid w:val="008B22A2"/>
    <w:rsid w:val="008B4544"/>
    <w:rsid w:val="008F3AAA"/>
    <w:rsid w:val="009A5FD6"/>
    <w:rsid w:val="009B4FDB"/>
    <w:rsid w:val="009E1422"/>
    <w:rsid w:val="009E464F"/>
    <w:rsid w:val="00A84CE4"/>
    <w:rsid w:val="00AA3B95"/>
    <w:rsid w:val="00AD448B"/>
    <w:rsid w:val="00AE3F5C"/>
    <w:rsid w:val="00B45366"/>
    <w:rsid w:val="00B45BBE"/>
    <w:rsid w:val="00C01AF6"/>
    <w:rsid w:val="00C17D7B"/>
    <w:rsid w:val="00C277BF"/>
    <w:rsid w:val="00C316F8"/>
    <w:rsid w:val="00C624B3"/>
    <w:rsid w:val="00CD54EC"/>
    <w:rsid w:val="00D2705E"/>
    <w:rsid w:val="00D35F23"/>
    <w:rsid w:val="00D61197"/>
    <w:rsid w:val="00D75A25"/>
    <w:rsid w:val="00D763CE"/>
    <w:rsid w:val="00DB7A01"/>
    <w:rsid w:val="00DB7CA2"/>
    <w:rsid w:val="00DD31FC"/>
    <w:rsid w:val="00DD5E07"/>
    <w:rsid w:val="00E273DF"/>
    <w:rsid w:val="00E30A17"/>
    <w:rsid w:val="00E33A39"/>
    <w:rsid w:val="00E57756"/>
    <w:rsid w:val="00E658DA"/>
    <w:rsid w:val="00E7672E"/>
    <w:rsid w:val="00E83835"/>
    <w:rsid w:val="00EC29CB"/>
    <w:rsid w:val="00EC5040"/>
    <w:rsid w:val="00ED43E3"/>
    <w:rsid w:val="00EF16EF"/>
    <w:rsid w:val="00EF3281"/>
    <w:rsid w:val="00F07D4C"/>
    <w:rsid w:val="00F2195D"/>
    <w:rsid w:val="00F55F66"/>
    <w:rsid w:val="00F65162"/>
    <w:rsid w:val="00F6606D"/>
    <w:rsid w:val="00F6736D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F55F66"/>
    <w:pPr>
      <w:keepNext/>
      <w:pBdr>
        <w:left w:val="single" w:sz="24" w:space="14" w:color="CC0033"/>
      </w:pBdr>
      <w:spacing w:after="0" w:line="240" w:lineRule="auto"/>
      <w:outlineLvl w:val="0"/>
    </w:pPr>
    <w:rPr>
      <w:rFonts w:ascii="Arial" w:eastAsia="Arial" w:hAnsi="Arial" w:cs="Arial"/>
      <w:smallCaps/>
      <w:color w:val="CC0033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14"/>
    <w:rPr>
      <w:sz w:val="20"/>
      <w:szCs w:val="20"/>
    </w:rPr>
  </w:style>
  <w:style w:type="character" w:customStyle="1" w:styleId="m4368044888884785204null1">
    <w:name w:val="m_4368044888884785204null1"/>
    <w:basedOn w:val="Standardnpsmoodstavce"/>
    <w:rsid w:val="00F55F66"/>
  </w:style>
  <w:style w:type="character" w:customStyle="1" w:styleId="Nadpis1Char">
    <w:name w:val="Nadpis 1 Char"/>
    <w:basedOn w:val="Standardnpsmoodstavce"/>
    <w:link w:val="Nadpis1"/>
    <w:rsid w:val="00F55F66"/>
    <w:rPr>
      <w:rFonts w:ascii="Arial" w:eastAsia="Arial" w:hAnsi="Arial" w:cs="Arial"/>
      <w:smallCaps/>
      <w:color w:val="CC0033"/>
      <w:sz w:val="38"/>
      <w:szCs w:val="3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el_zubek@kb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AA749-D0DC-424A-A1B2-BA0FEE621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58BFA-CD1E-4E66-96BF-A4CAC872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TZ.dotx</Template>
  <TotalTime>11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Jakub Knapp</cp:lastModifiedBy>
  <cp:revision>5</cp:revision>
  <dcterms:created xsi:type="dcterms:W3CDTF">2022-08-31T05:50:00Z</dcterms:created>
  <dcterms:modified xsi:type="dcterms:W3CDTF">2022-08-31T08:21:00Z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2022-08-31T07:23:04Z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c6e99ee5-6e74-4980-9e92-42a4f3756e64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