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3815" w14:textId="45CE91A3" w:rsidR="00113C5A" w:rsidRPr="00455A3C" w:rsidRDefault="00113C5A" w:rsidP="00AC35C4">
      <w:pPr>
        <w:pStyle w:val="F2-zkladn"/>
        <w:rPr>
          <w:b/>
          <w:sz w:val="28"/>
          <w:szCs w:val="28"/>
        </w:rPr>
      </w:pPr>
    </w:p>
    <w:p w14:paraId="3DFA4004" w14:textId="0AE700F5" w:rsidR="00B123FF" w:rsidRPr="00455A3C" w:rsidRDefault="00B123FF" w:rsidP="00AC35C4">
      <w:pPr>
        <w:pStyle w:val="F2-zkladn"/>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4476B0BF" w14:textId="3C0F6C25" w:rsidR="000A2833" w:rsidRPr="00455A3C" w:rsidRDefault="0018797C" w:rsidP="00AC35C4">
      <w:pPr>
        <w:pStyle w:val="F2-zkladn"/>
        <w:rPr>
          <w:b/>
          <w:sz w:val="28"/>
          <w:szCs w:val="28"/>
        </w:rPr>
      </w:pPr>
      <w:r>
        <w:rPr>
          <w:noProof/>
        </w:rPr>
        <mc:AlternateContent>
          <mc:Choice Requires="wps">
            <w:drawing>
              <wp:inline distT="0" distB="0" distL="0" distR="0" wp14:anchorId="65142C85" wp14:editId="4D6C1418">
                <wp:extent cx="301625" cy="301625"/>
                <wp:effectExtent l="0" t="0" r="0" b="3175"/>
                <wp:docPr id="9"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2388318"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18675A51" w14:textId="56F51301" w:rsidR="000A2833" w:rsidRPr="00455A3C" w:rsidRDefault="0018797C" w:rsidP="00AC35C4">
      <w:pPr>
        <w:pStyle w:val="F2-zkladn"/>
        <w:tabs>
          <w:tab w:val="right" w:pos="9070"/>
        </w:tabs>
      </w:pPr>
      <w:r>
        <w:rPr>
          <w:noProof/>
        </w:rPr>
        <mc:AlternateContent>
          <mc:Choice Requires="wps">
            <w:drawing>
              <wp:inline distT="0" distB="0" distL="0" distR="0" wp14:anchorId="69E119FC" wp14:editId="30D57B6D">
                <wp:extent cx="301625" cy="301625"/>
                <wp:effectExtent l="0" t="0" r="0" b="3175"/>
                <wp:docPr id="6"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C5EE2D5"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D749C9">
        <w:t>22</w:t>
      </w:r>
      <w:r w:rsidR="00A30105" w:rsidRPr="00455A3C">
        <w:t xml:space="preserve">. </w:t>
      </w:r>
      <w:r w:rsidR="005D3F78">
        <w:t>červ</w:t>
      </w:r>
      <w:r w:rsidR="0057123D">
        <w:t>ence</w:t>
      </w:r>
      <w:r w:rsidR="00A30105" w:rsidRPr="00455A3C">
        <w:t xml:space="preserve"> 20</w:t>
      </w:r>
      <w:r w:rsidR="00A7414F" w:rsidRPr="00455A3C">
        <w:t>2</w:t>
      </w:r>
      <w:r w:rsidR="00534D3B">
        <w:t>2</w:t>
      </w:r>
    </w:p>
    <w:p w14:paraId="06416E19" w14:textId="308B8739" w:rsidR="000C727D" w:rsidRDefault="000C727D" w:rsidP="00303102">
      <w:pPr>
        <w:spacing w:after="120"/>
        <w:rPr>
          <w:b/>
          <w:sz w:val="28"/>
          <w:szCs w:val="28"/>
        </w:rPr>
      </w:pPr>
    </w:p>
    <w:p w14:paraId="563CBE10" w14:textId="2B22DA1C" w:rsidR="00303102" w:rsidRDefault="0057123D" w:rsidP="00611687">
      <w:pPr>
        <w:spacing w:after="120"/>
        <w:rPr>
          <w:b/>
          <w:sz w:val="28"/>
          <w:szCs w:val="28"/>
        </w:rPr>
      </w:pPr>
      <w:r>
        <w:rPr>
          <w:b/>
          <w:sz w:val="28"/>
          <w:szCs w:val="28"/>
        </w:rPr>
        <w:t xml:space="preserve">Fidelity International: </w:t>
      </w:r>
      <w:r w:rsidR="000D580F">
        <w:rPr>
          <w:b/>
          <w:sz w:val="28"/>
          <w:szCs w:val="28"/>
        </w:rPr>
        <w:t xml:space="preserve">Těžká volba </w:t>
      </w:r>
      <w:r w:rsidR="000D580F" w:rsidRPr="000D580F">
        <w:rPr>
          <w:b/>
          <w:sz w:val="28"/>
          <w:szCs w:val="28"/>
        </w:rPr>
        <w:t>– odvrátit recesi, nebo porazit inflaci</w:t>
      </w:r>
      <w:r w:rsidR="00B16CC2">
        <w:rPr>
          <w:b/>
          <w:sz w:val="28"/>
          <w:szCs w:val="28"/>
        </w:rPr>
        <w:t>?</w:t>
      </w:r>
    </w:p>
    <w:p w14:paraId="3BB65997" w14:textId="77777777" w:rsidR="00B16CC2" w:rsidRPr="00B16CC2" w:rsidRDefault="00B16CC2" w:rsidP="00B16CC2">
      <w:pPr>
        <w:pStyle w:val="Normlnweb"/>
        <w:shd w:val="clear" w:color="auto" w:fill="FFFFFF"/>
        <w:spacing w:before="0" w:after="210"/>
        <w:rPr>
          <w:rFonts w:asciiTheme="minorHAnsi" w:eastAsiaTheme="minorHAnsi" w:hAnsiTheme="minorHAnsi" w:cstheme="minorBidi"/>
          <w:b/>
          <w:sz w:val="24"/>
          <w:szCs w:val="24"/>
          <w:lang w:eastAsia="en-US"/>
        </w:rPr>
      </w:pPr>
      <w:r w:rsidRPr="00B16CC2">
        <w:rPr>
          <w:rFonts w:asciiTheme="minorHAnsi" w:eastAsiaTheme="minorHAnsi" w:hAnsiTheme="minorHAnsi" w:cstheme="minorBidi"/>
          <w:b/>
          <w:sz w:val="24"/>
          <w:szCs w:val="24"/>
          <w:lang w:eastAsia="en-US"/>
        </w:rPr>
        <w:t>Červnový příběh trhu je z oblasti pevných výnosů. Dluhopisy s vysokým výnosem klesly o téměř 7 %, zejména v důsledku širších spreadů. Po většinu letošního roku byly ztráty dluhopisů způsobeny růstem sazeb, přičemž ten se nyní projevuje v úvěrovém riziku, což signalizuje přesun pozornosti od inflace k růstu.</w:t>
      </w:r>
    </w:p>
    <w:p w14:paraId="34C40F5E" w14:textId="1C709635" w:rsidR="0016361E" w:rsidRDefault="0016361E" w:rsidP="00D13E3F">
      <w:pPr>
        <w:pStyle w:val="Normlnweb"/>
        <w:shd w:val="clear" w:color="auto" w:fill="FFFFFF"/>
        <w:spacing w:after="210" w:line="360" w:lineRule="auto"/>
        <w:rPr>
          <w:color w:val="000000" w:themeColor="text1"/>
        </w:rPr>
      </w:pPr>
      <w:r w:rsidRPr="0016361E">
        <w:rPr>
          <w:color w:val="000000" w:themeColor="text1"/>
        </w:rPr>
        <w:t xml:space="preserve">Debata o růstu by mohla koncem července nabýt ještě většího významu. Nynější prognóza růstu HDP </w:t>
      </w:r>
      <w:r w:rsidR="00D13E3F">
        <w:rPr>
          <w:color w:val="000000" w:themeColor="text1"/>
        </w:rPr>
        <w:t xml:space="preserve">podle </w:t>
      </w:r>
      <w:r w:rsidRPr="0016361E">
        <w:rPr>
          <w:color w:val="000000" w:themeColor="text1"/>
        </w:rPr>
        <w:t xml:space="preserve">atlantského </w:t>
      </w:r>
      <w:proofErr w:type="spellStart"/>
      <w:r w:rsidRPr="0016361E">
        <w:rPr>
          <w:color w:val="000000" w:themeColor="text1"/>
        </w:rPr>
        <w:t>Fedu</w:t>
      </w:r>
      <w:proofErr w:type="spellEnd"/>
      <w:r w:rsidRPr="0016361E">
        <w:rPr>
          <w:color w:val="000000" w:themeColor="text1"/>
        </w:rPr>
        <w:t xml:space="preserve"> v současné době očekává, že údaj za druhé čtvrtletí bude -1,2 %. V 1. čtvrtletí činil -1,6 %, takže až bude 28. července zveřejněn pokročilý odhad, můžeme se ocitnout technicky v recesi (pokud ta je definována jako dvě po sobě jdoucí čtvrtletí poklesu).</w:t>
      </w:r>
    </w:p>
    <w:p w14:paraId="432B84A5" w14:textId="65FB57B5" w:rsidR="0016361E" w:rsidRDefault="0016361E" w:rsidP="00D13E3F">
      <w:pPr>
        <w:pStyle w:val="Normlnweb"/>
        <w:shd w:val="clear" w:color="auto" w:fill="FFFFFF"/>
        <w:spacing w:after="210" w:line="360" w:lineRule="auto"/>
        <w:rPr>
          <w:color w:val="000000" w:themeColor="text1"/>
        </w:rPr>
      </w:pPr>
      <w:r w:rsidRPr="0016361E">
        <w:rPr>
          <w:color w:val="000000" w:themeColor="text1"/>
        </w:rPr>
        <w:t xml:space="preserve">Načasování je nepříznivé. Zasedání Federal Open Market Committee (FOMC) končí den předtím a očekává se, že přinese další zvýšení o 75 bazických bodů. Titulky o utahování politiky směrem do recese budou pro Fed nepříjemným čtením. Nepříjemná otázka by pak mohla znít: </w:t>
      </w:r>
      <w:r w:rsidR="00D13E3F">
        <w:rPr>
          <w:color w:val="000000" w:themeColor="text1"/>
        </w:rPr>
        <w:t>„</w:t>
      </w:r>
      <w:r w:rsidRPr="00D13E3F">
        <w:rPr>
          <w:i/>
          <w:iCs/>
          <w:color w:val="000000" w:themeColor="text1"/>
        </w:rPr>
        <w:t>Má Fed čelit recesi, nebo potlačovat inflaci?</w:t>
      </w:r>
      <w:r w:rsidR="00D13E3F">
        <w:rPr>
          <w:color w:val="000000" w:themeColor="text1"/>
        </w:rPr>
        <w:t>“</w:t>
      </w:r>
    </w:p>
    <w:p w14:paraId="6DC61D73" w14:textId="710C4E59" w:rsidR="0016361E" w:rsidRDefault="0016361E" w:rsidP="00D13E3F">
      <w:pPr>
        <w:pStyle w:val="Normlnweb"/>
        <w:shd w:val="clear" w:color="auto" w:fill="FFFFFF"/>
        <w:spacing w:after="210" w:line="360" w:lineRule="auto"/>
        <w:rPr>
          <w:color w:val="000000" w:themeColor="text1"/>
        </w:rPr>
      </w:pPr>
      <w:r w:rsidRPr="0016361E">
        <w:rPr>
          <w:color w:val="000000" w:themeColor="text1"/>
        </w:rPr>
        <w:t>Pokud inflace zůstane během léta zvýšená, mohl by Fed získat krytí ze silného trhu práce – za poslední čtyři měsíce přibylo 350-400 tis. pracovních míst mimo zemědělství. Naděje by pak spočívala v tom, že Fed svým předstihovým zvyšováním postaví ekonomiku do lepší rovnováhy.</w:t>
      </w:r>
    </w:p>
    <w:p w14:paraId="57FA178A" w14:textId="3C65C9DB" w:rsidR="004118D0" w:rsidRDefault="004118D0" w:rsidP="00D13E3F">
      <w:pPr>
        <w:pStyle w:val="Normlnweb"/>
        <w:shd w:val="clear" w:color="auto" w:fill="FFFFFF"/>
        <w:spacing w:after="210" w:line="360" w:lineRule="auto"/>
        <w:rPr>
          <w:rFonts w:asciiTheme="minorHAnsi" w:eastAsiaTheme="minorHAnsi" w:hAnsiTheme="minorHAnsi" w:cstheme="minorBidi"/>
          <w:b/>
          <w:sz w:val="24"/>
          <w:szCs w:val="24"/>
          <w:lang w:eastAsia="en-US"/>
        </w:rPr>
      </w:pPr>
      <w:r w:rsidRPr="004118D0">
        <w:rPr>
          <w:noProof/>
          <w:color w:val="000000" w:themeColor="text1"/>
        </w:rPr>
        <w:drawing>
          <wp:anchor distT="0" distB="0" distL="114300" distR="114300" simplePos="0" relativeHeight="251659264" behindDoc="1" locked="0" layoutInCell="1" allowOverlap="1" wp14:anchorId="41EFD737" wp14:editId="16A31A90">
            <wp:simplePos x="0" y="0"/>
            <wp:positionH relativeFrom="column">
              <wp:posOffset>61595</wp:posOffset>
            </wp:positionH>
            <wp:positionV relativeFrom="paragraph">
              <wp:posOffset>293370</wp:posOffset>
            </wp:positionV>
            <wp:extent cx="4248150" cy="2400300"/>
            <wp:effectExtent l="0" t="0" r="0" b="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248150" cy="24003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eastAsiaTheme="minorHAnsi" w:hAnsiTheme="minorHAnsi" w:cstheme="minorBidi"/>
          <w:b/>
          <w:sz w:val="24"/>
          <w:szCs w:val="24"/>
          <w:lang w:eastAsia="en-US"/>
        </w:rPr>
        <w:t>Graf</w:t>
      </w:r>
      <w:r w:rsidR="00954CC0">
        <w:rPr>
          <w:rFonts w:asciiTheme="minorHAnsi" w:eastAsiaTheme="minorHAnsi" w:hAnsiTheme="minorHAnsi" w:cstheme="minorBidi"/>
          <w:b/>
          <w:sz w:val="24"/>
          <w:szCs w:val="24"/>
          <w:lang w:eastAsia="en-US"/>
        </w:rPr>
        <w:t xml:space="preserve"> 1</w:t>
      </w:r>
      <w:r>
        <w:rPr>
          <w:rFonts w:asciiTheme="minorHAnsi" w:eastAsiaTheme="minorHAnsi" w:hAnsiTheme="minorHAnsi" w:cstheme="minorBidi"/>
          <w:b/>
          <w:sz w:val="24"/>
          <w:szCs w:val="24"/>
          <w:lang w:eastAsia="en-US"/>
        </w:rPr>
        <w:t>: Index PMI v eurozóně v červnu zpomalil</w:t>
      </w:r>
    </w:p>
    <w:p w14:paraId="04F8FAA9" w14:textId="5CBAF888" w:rsidR="004118D0" w:rsidRPr="009430F7" w:rsidRDefault="004118D0" w:rsidP="00D13E3F">
      <w:pPr>
        <w:pStyle w:val="Normlnweb"/>
        <w:shd w:val="clear" w:color="auto" w:fill="FFFFFF"/>
        <w:spacing w:after="210" w:line="360" w:lineRule="auto"/>
        <w:jc w:val="right"/>
        <w:rPr>
          <w:i/>
          <w:iCs/>
          <w:color w:val="000000" w:themeColor="text1"/>
        </w:rPr>
      </w:pPr>
      <w:r w:rsidRPr="009430F7">
        <w:rPr>
          <w:i/>
          <w:iCs/>
          <w:color w:val="000000" w:themeColor="text1"/>
        </w:rPr>
        <w:t>Zdroj: Fidelity International, Bloomberg, červen 2022.</w:t>
      </w:r>
    </w:p>
    <w:p w14:paraId="094F17E5" w14:textId="6C9C9723" w:rsidR="0016361E" w:rsidRDefault="0016361E" w:rsidP="00D13E3F">
      <w:pPr>
        <w:pStyle w:val="Normlnweb"/>
        <w:shd w:val="clear" w:color="auto" w:fill="FFFFFF"/>
        <w:spacing w:after="210" w:line="360" w:lineRule="auto"/>
        <w:rPr>
          <w:color w:val="000000" w:themeColor="text1"/>
        </w:rPr>
      </w:pPr>
      <w:r w:rsidRPr="0016361E">
        <w:rPr>
          <w:color w:val="000000" w:themeColor="text1"/>
        </w:rPr>
        <w:lastRenderedPageBreak/>
        <w:t>Pro podniky by měkká data o HDP, rostoucí mzdy a vyšší vstupní náklady mohly stlačit marže a snížit schopnost najímat zaměstnance. Pokud pomineme Čínu – představující světlý bod vykazující známky hospodářského oživení – globální indexy PMI ve službách i ve výrobě zpomalují. Spolu s ukazateli spotřebitelské a podnikatelské důvěry, které naznačují hluboké obavy v očekávání, se podniky dostávají pod tlak.</w:t>
      </w:r>
    </w:p>
    <w:p w14:paraId="23FD1544" w14:textId="4B0043BE" w:rsidR="00964590" w:rsidRDefault="00964590" w:rsidP="00D13E3F">
      <w:pPr>
        <w:pStyle w:val="Normlnweb"/>
        <w:shd w:val="clear" w:color="auto" w:fill="FFFFFF"/>
        <w:spacing w:before="0" w:after="210" w:line="360"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Graf</w:t>
      </w:r>
      <w:r w:rsidR="00954CC0">
        <w:rPr>
          <w:rFonts w:asciiTheme="minorHAnsi" w:eastAsiaTheme="minorHAnsi" w:hAnsiTheme="minorHAnsi" w:cstheme="minorBidi"/>
          <w:b/>
          <w:sz w:val="24"/>
          <w:szCs w:val="24"/>
          <w:lang w:eastAsia="en-US"/>
        </w:rPr>
        <w:t xml:space="preserve"> 2</w:t>
      </w:r>
      <w:r>
        <w:rPr>
          <w:rFonts w:asciiTheme="minorHAnsi" w:eastAsiaTheme="minorHAnsi" w:hAnsiTheme="minorHAnsi" w:cstheme="minorBidi"/>
          <w:b/>
          <w:sz w:val="24"/>
          <w:szCs w:val="24"/>
          <w:lang w:eastAsia="en-US"/>
        </w:rPr>
        <w:t xml:space="preserve">: </w:t>
      </w:r>
      <w:r w:rsidR="00856ED6">
        <w:rPr>
          <w:rFonts w:asciiTheme="minorHAnsi" w:eastAsiaTheme="minorHAnsi" w:hAnsiTheme="minorHAnsi" w:cstheme="minorBidi"/>
          <w:b/>
          <w:sz w:val="24"/>
          <w:szCs w:val="24"/>
          <w:lang w:eastAsia="en-US"/>
        </w:rPr>
        <w:t>Spotřebitelská důvěra v USA se propadla na 16měsíční minimum</w:t>
      </w:r>
    </w:p>
    <w:p w14:paraId="56E1FE34" w14:textId="54903821" w:rsidR="00856ED6" w:rsidRDefault="00856ED6" w:rsidP="00D13E3F">
      <w:pPr>
        <w:pStyle w:val="Normlnweb"/>
        <w:shd w:val="clear" w:color="auto" w:fill="FFFFFF"/>
        <w:spacing w:before="0" w:after="210" w:line="360" w:lineRule="auto"/>
        <w:rPr>
          <w:rFonts w:asciiTheme="minorHAnsi" w:eastAsiaTheme="minorHAnsi" w:hAnsiTheme="minorHAnsi" w:cstheme="minorBidi"/>
          <w:b/>
          <w:sz w:val="24"/>
          <w:szCs w:val="24"/>
          <w:lang w:eastAsia="en-US"/>
        </w:rPr>
      </w:pPr>
      <w:r w:rsidRPr="00856ED6">
        <w:rPr>
          <w:rFonts w:asciiTheme="minorHAnsi" w:eastAsiaTheme="minorHAnsi" w:hAnsiTheme="minorHAnsi" w:cstheme="minorBidi"/>
          <w:b/>
          <w:noProof/>
          <w:sz w:val="24"/>
          <w:szCs w:val="24"/>
          <w:lang w:eastAsia="en-US"/>
        </w:rPr>
        <w:drawing>
          <wp:anchor distT="0" distB="0" distL="114300" distR="114300" simplePos="0" relativeHeight="251660288" behindDoc="0" locked="0" layoutInCell="1" allowOverlap="1" wp14:anchorId="7047E9E5" wp14:editId="1DCA50E4">
            <wp:simplePos x="0" y="0"/>
            <wp:positionH relativeFrom="column">
              <wp:posOffset>99695</wp:posOffset>
            </wp:positionH>
            <wp:positionV relativeFrom="paragraph">
              <wp:posOffset>7620</wp:posOffset>
            </wp:positionV>
            <wp:extent cx="4968240" cy="2781300"/>
            <wp:effectExtent l="0" t="0" r="3810" b="0"/>
            <wp:wrapThrough wrapText="bothSides">
              <wp:wrapPolygon edited="0">
                <wp:start x="0" y="0"/>
                <wp:lineTo x="0" y="21452"/>
                <wp:lineTo x="21534" y="21452"/>
                <wp:lineTo x="21534"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968240" cy="2781300"/>
                    </a:xfrm>
                    <a:prstGeom prst="rect">
                      <a:avLst/>
                    </a:prstGeom>
                  </pic:spPr>
                </pic:pic>
              </a:graphicData>
            </a:graphic>
          </wp:anchor>
        </w:drawing>
      </w:r>
    </w:p>
    <w:p w14:paraId="30F6249F" w14:textId="77777777" w:rsidR="00856ED6" w:rsidRDefault="00856ED6" w:rsidP="00D13E3F">
      <w:pPr>
        <w:pStyle w:val="Normlnweb"/>
        <w:shd w:val="clear" w:color="auto" w:fill="FFFFFF"/>
        <w:spacing w:after="210" w:line="360" w:lineRule="auto"/>
        <w:jc w:val="right"/>
        <w:rPr>
          <w:i/>
          <w:iCs/>
          <w:color w:val="000000" w:themeColor="text1"/>
        </w:rPr>
      </w:pPr>
    </w:p>
    <w:p w14:paraId="6D5FF51C" w14:textId="77777777" w:rsidR="00856ED6" w:rsidRDefault="00856ED6" w:rsidP="00D13E3F">
      <w:pPr>
        <w:pStyle w:val="Normlnweb"/>
        <w:shd w:val="clear" w:color="auto" w:fill="FFFFFF"/>
        <w:spacing w:after="210" w:line="360" w:lineRule="auto"/>
        <w:jc w:val="right"/>
        <w:rPr>
          <w:i/>
          <w:iCs/>
          <w:color w:val="000000" w:themeColor="text1"/>
        </w:rPr>
      </w:pPr>
    </w:p>
    <w:p w14:paraId="7D44668E" w14:textId="77777777" w:rsidR="00856ED6" w:rsidRDefault="00856ED6" w:rsidP="00D13E3F">
      <w:pPr>
        <w:pStyle w:val="Normlnweb"/>
        <w:shd w:val="clear" w:color="auto" w:fill="FFFFFF"/>
        <w:spacing w:after="210" w:line="360" w:lineRule="auto"/>
        <w:jc w:val="right"/>
        <w:rPr>
          <w:i/>
          <w:iCs/>
          <w:color w:val="000000" w:themeColor="text1"/>
        </w:rPr>
      </w:pPr>
    </w:p>
    <w:p w14:paraId="0036A334" w14:textId="77777777" w:rsidR="00856ED6" w:rsidRDefault="00856ED6" w:rsidP="00D13E3F">
      <w:pPr>
        <w:pStyle w:val="Normlnweb"/>
        <w:shd w:val="clear" w:color="auto" w:fill="FFFFFF"/>
        <w:spacing w:after="210" w:line="360" w:lineRule="auto"/>
        <w:jc w:val="right"/>
        <w:rPr>
          <w:i/>
          <w:iCs/>
          <w:color w:val="000000" w:themeColor="text1"/>
        </w:rPr>
      </w:pPr>
    </w:p>
    <w:p w14:paraId="1783EB19" w14:textId="77777777" w:rsidR="00856ED6" w:rsidRDefault="00856ED6" w:rsidP="00D13E3F">
      <w:pPr>
        <w:pStyle w:val="Normlnweb"/>
        <w:shd w:val="clear" w:color="auto" w:fill="FFFFFF"/>
        <w:spacing w:after="210" w:line="360" w:lineRule="auto"/>
        <w:jc w:val="right"/>
        <w:rPr>
          <w:i/>
          <w:iCs/>
          <w:color w:val="000000" w:themeColor="text1"/>
        </w:rPr>
      </w:pPr>
    </w:p>
    <w:p w14:paraId="102017E0" w14:textId="77777777" w:rsidR="00856ED6" w:rsidRDefault="00856ED6" w:rsidP="00D13E3F">
      <w:pPr>
        <w:pStyle w:val="Normlnweb"/>
        <w:shd w:val="clear" w:color="auto" w:fill="FFFFFF"/>
        <w:spacing w:after="210" w:line="360" w:lineRule="auto"/>
        <w:jc w:val="right"/>
        <w:rPr>
          <w:i/>
          <w:iCs/>
          <w:color w:val="000000" w:themeColor="text1"/>
        </w:rPr>
      </w:pPr>
    </w:p>
    <w:p w14:paraId="1221BFDA" w14:textId="77777777" w:rsidR="00856ED6" w:rsidRDefault="00856ED6" w:rsidP="00D13E3F">
      <w:pPr>
        <w:pStyle w:val="Normlnweb"/>
        <w:shd w:val="clear" w:color="auto" w:fill="FFFFFF"/>
        <w:spacing w:after="210" w:line="360" w:lineRule="auto"/>
        <w:rPr>
          <w:i/>
          <w:iCs/>
          <w:color w:val="000000" w:themeColor="text1"/>
        </w:rPr>
      </w:pPr>
    </w:p>
    <w:p w14:paraId="5DAA7A12" w14:textId="720E407F" w:rsidR="00856ED6" w:rsidRDefault="00856ED6" w:rsidP="00D13E3F">
      <w:pPr>
        <w:pStyle w:val="Normlnweb"/>
        <w:shd w:val="clear" w:color="auto" w:fill="FFFFFF"/>
        <w:spacing w:after="210" w:line="360" w:lineRule="auto"/>
        <w:jc w:val="right"/>
        <w:rPr>
          <w:i/>
          <w:iCs/>
          <w:color w:val="000000" w:themeColor="text1"/>
        </w:rPr>
      </w:pPr>
      <w:r>
        <w:rPr>
          <w:i/>
          <w:iCs/>
          <w:color w:val="000000" w:themeColor="text1"/>
        </w:rPr>
        <w:t>Zdroj: Fidelity International, Refinitiv, červen 2022</w:t>
      </w:r>
    </w:p>
    <w:p w14:paraId="5315F8E8" w14:textId="33C9BED3" w:rsidR="0016361E" w:rsidRDefault="0016361E" w:rsidP="00D13E3F">
      <w:pPr>
        <w:pStyle w:val="Normlnweb"/>
        <w:shd w:val="clear" w:color="auto" w:fill="FFFFFF"/>
        <w:spacing w:after="210" w:line="360" w:lineRule="auto"/>
        <w:rPr>
          <w:color w:val="000000" w:themeColor="text1"/>
        </w:rPr>
      </w:pPr>
      <w:r w:rsidRPr="0016361E">
        <w:rPr>
          <w:color w:val="000000" w:themeColor="text1"/>
        </w:rPr>
        <w:t xml:space="preserve">Sezóna hospodářských výsledků za druhé čtvrtletí je v plném proudu a očekávání jsou obecně revidována směrem dolů. Odhady indexu S&amp;P 500 zaznamenaly největší revizi směrem dolů od 2. čtvrtletí 2020, kdy došlo k lockdownům. </w:t>
      </w:r>
      <w:r w:rsidRPr="00872129">
        <w:rPr>
          <w:i/>
          <w:iCs/>
          <w:color w:val="000000" w:themeColor="text1"/>
        </w:rPr>
        <w:t>„Výsledky za 1. čtvrtletí 2022 byly poměrně mírné, pokud jde o dopad inflace, ale očekáváme, že v tomto čtvrtletí a v průběhu roku bude vliv výraznější. V důsledku toho může docházet k rostoucím rozdílům mezi společnostmi s cenovou silou a bez ní,“</w:t>
      </w:r>
      <w:r w:rsidRPr="0016361E">
        <w:rPr>
          <w:color w:val="000000" w:themeColor="text1"/>
        </w:rPr>
        <w:t xml:space="preserve"> vysvětluje</w:t>
      </w:r>
      <w:r w:rsidR="00964590">
        <w:rPr>
          <w:color w:val="000000" w:themeColor="text1"/>
        </w:rPr>
        <w:t xml:space="preserve"> Toby Gibb, ředitel směřování investic, akcií a nástrojů s fixním příjmem</w:t>
      </w:r>
      <w:r w:rsidRPr="0016361E">
        <w:rPr>
          <w:color w:val="000000" w:themeColor="text1"/>
        </w:rPr>
        <w:t xml:space="preserve"> z Fidelity International</w:t>
      </w:r>
      <w:r>
        <w:rPr>
          <w:color w:val="000000" w:themeColor="text1"/>
        </w:rPr>
        <w:t>.</w:t>
      </w:r>
    </w:p>
    <w:p w14:paraId="34DAB9A9" w14:textId="60B9080B" w:rsidR="00872129" w:rsidRDefault="00872129" w:rsidP="00D13E3F">
      <w:pPr>
        <w:pStyle w:val="Normlnweb"/>
        <w:shd w:val="clear" w:color="auto" w:fill="FFFFFF"/>
        <w:spacing w:before="0" w:after="210" w:line="360" w:lineRule="auto"/>
        <w:rPr>
          <w:color w:val="000000" w:themeColor="text1"/>
        </w:rPr>
      </w:pPr>
      <w:r w:rsidRPr="00872129">
        <w:rPr>
          <w:color w:val="000000" w:themeColor="text1"/>
        </w:rPr>
        <w:t>V celosvětovém měřítku jsou atraktivní čínské akcie, protože země se vrací na ekonomickou scénu, pokud se jí podaří vyhnout rozsáhlým lockdownům způsobených Covidem, a pro investory je přitažlivá i podpůrná politika Japonska a slabý jen.</w:t>
      </w:r>
    </w:p>
    <w:p w14:paraId="13AD0205" w14:textId="3BBA505F" w:rsidR="002D28A9" w:rsidRPr="00872129" w:rsidRDefault="00872129" w:rsidP="00D13E3F">
      <w:pPr>
        <w:pStyle w:val="Normlnweb"/>
        <w:shd w:val="clear" w:color="auto" w:fill="FFFFFF"/>
        <w:spacing w:before="0" w:after="210" w:line="360" w:lineRule="auto"/>
        <w:rPr>
          <w:color w:val="000000" w:themeColor="text1"/>
        </w:rPr>
      </w:pPr>
      <w:r>
        <w:rPr>
          <w:rFonts w:asciiTheme="minorHAnsi" w:eastAsiaTheme="minorHAnsi" w:hAnsiTheme="minorHAnsi" w:cstheme="minorBidi"/>
          <w:b/>
          <w:sz w:val="24"/>
          <w:szCs w:val="24"/>
          <w:lang w:eastAsia="en-US"/>
        </w:rPr>
        <w:t>Situace na akciových trzích v</w:t>
      </w:r>
      <w:r w:rsidR="006E5B47">
        <w:rPr>
          <w:rFonts w:asciiTheme="minorHAnsi" w:eastAsiaTheme="minorHAnsi" w:hAnsiTheme="minorHAnsi" w:cstheme="minorBidi"/>
          <w:b/>
          <w:sz w:val="24"/>
          <w:szCs w:val="24"/>
          <w:lang w:eastAsia="en-US"/>
        </w:rPr>
        <w:t> kostce:</w:t>
      </w:r>
    </w:p>
    <w:p w14:paraId="33BC639E" w14:textId="3E61AA32" w:rsidR="006E5B47" w:rsidRDefault="006E5B47" w:rsidP="00D13E3F">
      <w:pPr>
        <w:spacing w:after="210" w:line="360" w:lineRule="auto"/>
        <w:rPr>
          <w:color w:val="000000" w:themeColor="text1"/>
        </w:rPr>
      </w:pPr>
      <w:r w:rsidRPr="006E5B47">
        <w:rPr>
          <w:color w:val="000000" w:themeColor="text1"/>
        </w:rPr>
        <w:t>Světové akcie se ve druhém kvartále propadly o 13 % a vstoupily tak do medvědího trhu. U mnoha investorů, kteří se letos se svou strategií "buy-the-dip" spálili, nyní převládá opatrnost. Rizika pro 3. čtvrtletí jsou vyšší díky zlevňujícím komoditám a nižší valuaci akcií.</w:t>
      </w:r>
    </w:p>
    <w:p w14:paraId="13E3665C" w14:textId="5B219E22" w:rsidR="006E5B47" w:rsidRPr="006E5B47" w:rsidRDefault="006E5B47" w:rsidP="00D13E3F">
      <w:pPr>
        <w:spacing w:after="210" w:line="360" w:lineRule="auto"/>
        <w:rPr>
          <w:color w:val="000000" w:themeColor="text1"/>
        </w:rPr>
      </w:pPr>
      <w:r w:rsidRPr="006E5B47">
        <w:rPr>
          <w:color w:val="000000" w:themeColor="text1"/>
        </w:rPr>
        <w:lastRenderedPageBreak/>
        <w:t>Americké akcie v červnu prudce poklesly poté, co Fed navýšil úrokové sazby nejvíce od roku 1994. S růstem sazeb rostou náklady financování podniků a rozšiřují se kreditní spready. Cash flow bude zásadním ukazatelem pro ty společnosti, které pravděpodobně pocítí krizi nejvíce.</w:t>
      </w:r>
    </w:p>
    <w:p w14:paraId="79F6CE88" w14:textId="287145B2" w:rsidR="006E5B47" w:rsidRPr="006E5B47" w:rsidRDefault="006E5B47" w:rsidP="00D13E3F">
      <w:pPr>
        <w:spacing w:after="210" w:line="360" w:lineRule="auto"/>
        <w:rPr>
          <w:color w:val="000000" w:themeColor="text1"/>
        </w:rPr>
      </w:pPr>
      <w:r w:rsidRPr="006E5B47">
        <w:rPr>
          <w:color w:val="000000" w:themeColor="text1"/>
        </w:rPr>
        <w:t xml:space="preserve">Evropské akcie skončily </w:t>
      </w:r>
      <w:r w:rsidR="009C04EB">
        <w:rPr>
          <w:color w:val="000000" w:themeColor="text1"/>
        </w:rPr>
        <w:t xml:space="preserve">v </w:t>
      </w:r>
      <w:r w:rsidRPr="006E5B47">
        <w:rPr>
          <w:color w:val="000000" w:themeColor="text1"/>
        </w:rPr>
        <w:t>červ</w:t>
      </w:r>
      <w:r w:rsidR="009C04EB">
        <w:rPr>
          <w:color w:val="000000" w:themeColor="text1"/>
        </w:rPr>
        <w:t>nu</w:t>
      </w:r>
      <w:r w:rsidRPr="006E5B47">
        <w:rPr>
          <w:color w:val="000000" w:themeColor="text1"/>
        </w:rPr>
        <w:t xml:space="preserve"> na nižší úrovni. Nálada zůstává křehká vzhledem k jestřábímu postoji hlavních centrálních bank a obavám z recese. Vzhledem k „vpřed</w:t>
      </w:r>
      <w:r>
        <w:rPr>
          <w:color w:val="000000" w:themeColor="text1"/>
        </w:rPr>
        <w:t xml:space="preserve"> </w:t>
      </w:r>
      <w:r w:rsidRPr="006E5B47">
        <w:rPr>
          <w:color w:val="000000" w:themeColor="text1"/>
        </w:rPr>
        <w:t>hledící“ povaze trhu je třeba dát pozor, aby s poklesem nerostla medvědí nálada, což by fakticky umocňovalo negativitu.</w:t>
      </w:r>
    </w:p>
    <w:p w14:paraId="6C152342" w14:textId="2B6E0945" w:rsidR="006E5B47" w:rsidRPr="006E5B47" w:rsidRDefault="006E5B47" w:rsidP="00D13E3F">
      <w:pPr>
        <w:spacing w:after="210" w:line="360" w:lineRule="auto"/>
        <w:rPr>
          <w:color w:val="000000" w:themeColor="text1"/>
        </w:rPr>
      </w:pPr>
      <w:r w:rsidRPr="006E5B47">
        <w:rPr>
          <w:color w:val="000000" w:themeColor="text1"/>
        </w:rPr>
        <w:t>Rozvíjející se trhy ztratily dech, který nabraly v druhé polovině května, a červen zakončily se ztrátou, byť jsou na tom stále lépe než rozvinuté trhy. V rámci rozvíjejících se trhů zahraniční investoři mění pozice a trendem je obrat z technologické Koreje do zotavující se Číny.</w:t>
      </w:r>
    </w:p>
    <w:p w14:paraId="0D4C6F38" w14:textId="1388EE79" w:rsidR="006E5B47" w:rsidRDefault="006E5B47" w:rsidP="00D13E3F">
      <w:pPr>
        <w:spacing w:after="210" w:line="360" w:lineRule="auto"/>
        <w:rPr>
          <w:color w:val="000000" w:themeColor="text1"/>
        </w:rPr>
      </w:pPr>
      <w:r w:rsidRPr="006E5B47">
        <w:rPr>
          <w:color w:val="000000" w:themeColor="text1"/>
        </w:rPr>
        <w:t>Neutuchající prodejní tlak zahraničních investorů vedl v červnu k poklesu v regionu Asie a Tichomoří bez Japonska. Klíčovými tématy jsou inflace, zpřísňování měnové politiky a zhoršující se růst. Čína je na cestě k hospodářskému oživení, ale jeho rychlost a síla jsou zatím nejisté.</w:t>
      </w:r>
    </w:p>
    <w:p w14:paraId="3286B56F" w14:textId="2E1C488B" w:rsidR="00B627D5" w:rsidRDefault="00B627D5" w:rsidP="00D13E3F">
      <w:pPr>
        <w:pStyle w:val="F2-zkladn"/>
        <w:spacing w:line="360"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Graf</w:t>
      </w:r>
      <w:r w:rsidR="00954CC0">
        <w:rPr>
          <w:rFonts w:asciiTheme="minorHAnsi" w:eastAsiaTheme="minorHAnsi" w:hAnsiTheme="minorHAnsi" w:cstheme="minorBidi"/>
          <w:b/>
          <w:sz w:val="24"/>
          <w:szCs w:val="24"/>
          <w:lang w:eastAsia="en-US"/>
        </w:rPr>
        <w:t xml:space="preserve"> 3</w:t>
      </w:r>
      <w:r>
        <w:rPr>
          <w:rFonts w:asciiTheme="minorHAnsi" w:eastAsiaTheme="minorHAnsi" w:hAnsiTheme="minorHAnsi" w:cstheme="minorBidi"/>
          <w:b/>
          <w:sz w:val="24"/>
          <w:szCs w:val="24"/>
          <w:lang w:eastAsia="en-US"/>
        </w:rPr>
        <w:t>: Valuace britských akcií se snižuje</w:t>
      </w:r>
    </w:p>
    <w:p w14:paraId="61D9A7CB" w14:textId="2DCFC412" w:rsidR="00B627D5" w:rsidRPr="00B627D5" w:rsidRDefault="00B627D5" w:rsidP="00D13E3F">
      <w:pPr>
        <w:pStyle w:val="F2-zkladn"/>
        <w:spacing w:line="360" w:lineRule="auto"/>
        <w:jc w:val="right"/>
        <w:rPr>
          <w:i/>
          <w:iCs/>
          <w:color w:val="000000" w:themeColor="text1"/>
        </w:rPr>
      </w:pPr>
      <w:r w:rsidRPr="00B627D5">
        <w:rPr>
          <w:i/>
          <w:iCs/>
          <w:noProof/>
        </w:rPr>
        <w:drawing>
          <wp:anchor distT="0" distB="0" distL="114300" distR="114300" simplePos="0" relativeHeight="251661312" behindDoc="1" locked="0" layoutInCell="1" allowOverlap="1" wp14:anchorId="3EEE20A0" wp14:editId="79BC4757">
            <wp:simplePos x="0" y="0"/>
            <wp:positionH relativeFrom="margin">
              <wp:align>left</wp:align>
            </wp:positionH>
            <wp:positionV relativeFrom="paragraph">
              <wp:posOffset>160020</wp:posOffset>
            </wp:positionV>
            <wp:extent cx="5082980" cy="2895851"/>
            <wp:effectExtent l="0" t="0" r="3810" b="0"/>
            <wp:wrapTopAndBottom/>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082980" cy="2895851"/>
                    </a:xfrm>
                    <a:prstGeom prst="rect">
                      <a:avLst/>
                    </a:prstGeom>
                  </pic:spPr>
                </pic:pic>
              </a:graphicData>
            </a:graphic>
          </wp:anchor>
        </w:drawing>
      </w:r>
      <w:r w:rsidRPr="00B627D5">
        <w:rPr>
          <w:i/>
          <w:iCs/>
          <w:color w:val="000000" w:themeColor="text1"/>
        </w:rPr>
        <w:t>Zdroj: Fidelity International, Bloomberg, červenec 2022</w:t>
      </w:r>
      <w:r w:rsidR="00954CC0">
        <w:rPr>
          <w:i/>
          <w:iCs/>
          <w:color w:val="000000" w:themeColor="text1"/>
        </w:rPr>
        <w:t>.</w:t>
      </w:r>
    </w:p>
    <w:p w14:paraId="1AF00BEB" w14:textId="5C2DBDDD" w:rsidR="00D749C9" w:rsidRPr="00B627D5" w:rsidRDefault="00D749C9" w:rsidP="00D13E3F">
      <w:pPr>
        <w:pStyle w:val="F2-zkladn"/>
        <w:spacing w:line="360" w:lineRule="auto"/>
      </w:pPr>
      <w:r w:rsidRPr="00D749C9">
        <w:rPr>
          <w:color w:val="000000" w:themeColor="text1"/>
        </w:rPr>
        <w:t>Britské akcie skončily výrazně níže v prostředí, kdy agresivní utahování měnové politiky vyvolává pochybnosti o ekonomickém výhledu. „</w:t>
      </w:r>
      <w:r w:rsidRPr="00D749C9">
        <w:rPr>
          <w:i/>
          <w:iCs/>
          <w:color w:val="000000" w:themeColor="text1"/>
        </w:rPr>
        <w:t>Zájem investorů o mid-cap akcie je silný a očekáváme, že bude pokračovat i ve 2.polovině roku vzhledem k nízkému ocenění, slabé libře a rekordním prostředkům zájemců z oblasti private ekvity,“</w:t>
      </w:r>
      <w:r w:rsidRPr="00D749C9">
        <w:rPr>
          <w:color w:val="000000" w:themeColor="text1"/>
        </w:rPr>
        <w:t xml:space="preserve"> uzavírá </w:t>
      </w:r>
      <w:r w:rsidR="00964590">
        <w:rPr>
          <w:color w:val="000000" w:themeColor="text1"/>
        </w:rPr>
        <w:t>Toby Gibb</w:t>
      </w:r>
      <w:r w:rsidRPr="00D749C9">
        <w:rPr>
          <w:color w:val="000000" w:themeColor="text1"/>
        </w:rPr>
        <w:t xml:space="preserve"> z Fidelity Inte</w:t>
      </w:r>
      <w:r>
        <w:rPr>
          <w:color w:val="000000" w:themeColor="text1"/>
        </w:rPr>
        <w:t>rna</w:t>
      </w:r>
      <w:r w:rsidRPr="00D749C9">
        <w:rPr>
          <w:color w:val="000000" w:themeColor="text1"/>
        </w:rPr>
        <w:t xml:space="preserve">tional. </w:t>
      </w:r>
    </w:p>
    <w:p w14:paraId="50C4C13E" w14:textId="350FC98C" w:rsidR="000702F0" w:rsidRDefault="000702F0" w:rsidP="00D13E3F">
      <w:pPr>
        <w:spacing w:after="210" w:line="360" w:lineRule="auto"/>
        <w:rPr>
          <w:color w:val="000000" w:themeColor="text1"/>
        </w:rPr>
      </w:pPr>
    </w:p>
    <w:p w14:paraId="277BA5CD" w14:textId="7E41E4A6" w:rsidR="00725052" w:rsidRPr="00BC4EF0" w:rsidRDefault="00725052" w:rsidP="00725052">
      <w:pPr>
        <w:spacing w:line="240" w:lineRule="auto"/>
      </w:pPr>
      <w:r w:rsidRPr="00455A3C">
        <w:rPr>
          <w:b/>
        </w:rPr>
        <w:t>Pro více informací kontaktujte:</w:t>
      </w:r>
    </w:p>
    <w:p w14:paraId="4D946650" w14:textId="6C61F750" w:rsidR="00725052" w:rsidRPr="00455A3C" w:rsidRDefault="00725052" w:rsidP="00725052">
      <w:pPr>
        <w:spacing w:before="0" w:line="360" w:lineRule="auto"/>
        <w:rPr>
          <w:b/>
        </w:rPr>
      </w:pPr>
    </w:p>
    <w:p w14:paraId="5125F7C8" w14:textId="0F8FEDFE" w:rsidR="00725052" w:rsidRDefault="00725052" w:rsidP="00725052">
      <w:pPr>
        <w:spacing w:before="0" w:line="240" w:lineRule="atLeast"/>
        <w:rPr>
          <w:b/>
        </w:rPr>
      </w:pPr>
      <w:r>
        <w:rPr>
          <w:b/>
        </w:rPr>
        <w:lastRenderedPageBreak/>
        <w:t>Eliška Krohová</w:t>
      </w:r>
    </w:p>
    <w:p w14:paraId="389FA300" w14:textId="56A26D7E" w:rsidR="00725052" w:rsidRPr="00455A3C" w:rsidRDefault="00725052" w:rsidP="00725052">
      <w:pPr>
        <w:spacing w:before="0" w:line="240" w:lineRule="atLeast"/>
        <w:rPr>
          <w:b/>
          <w:bCs/>
        </w:rPr>
      </w:pPr>
      <w:r w:rsidRPr="00455A3C">
        <w:rPr>
          <w:b/>
          <w:bCs/>
        </w:rPr>
        <w:t>Crest Communications, a.s.</w:t>
      </w:r>
    </w:p>
    <w:p w14:paraId="5F3D0DB1" w14:textId="56706B32" w:rsidR="00725052" w:rsidRPr="00455A3C" w:rsidRDefault="00725052" w:rsidP="00725052">
      <w:pPr>
        <w:spacing w:before="0" w:line="240" w:lineRule="atLeast"/>
      </w:pPr>
    </w:p>
    <w:p w14:paraId="44431F36" w14:textId="08FB99FB" w:rsidR="00725052" w:rsidRPr="00455A3C" w:rsidRDefault="00725052" w:rsidP="00725052">
      <w:pPr>
        <w:spacing w:before="0" w:line="240" w:lineRule="atLeast"/>
      </w:pPr>
      <w:r w:rsidRPr="00455A3C">
        <w:t>Ostrovní 126/30</w:t>
      </w:r>
    </w:p>
    <w:p w14:paraId="5E112146" w14:textId="2585BA17" w:rsidR="00725052" w:rsidRPr="00455A3C" w:rsidRDefault="00725052" w:rsidP="00725052">
      <w:pPr>
        <w:spacing w:before="0" w:line="240" w:lineRule="atLeast"/>
      </w:pPr>
      <w:r w:rsidRPr="00455A3C">
        <w:t>110 00 Praha 1</w:t>
      </w:r>
    </w:p>
    <w:p w14:paraId="52365F48" w14:textId="77777777" w:rsidR="00725052" w:rsidRPr="00455A3C" w:rsidRDefault="00725052" w:rsidP="00725052">
      <w:pPr>
        <w:spacing w:before="0" w:line="240" w:lineRule="atLeast"/>
      </w:pPr>
      <w:r>
        <w:t>gsm: + 420 720 406 659</w:t>
      </w:r>
    </w:p>
    <w:p w14:paraId="0AF239BB" w14:textId="77777777" w:rsidR="00725052" w:rsidRPr="00455A3C" w:rsidRDefault="00000000" w:rsidP="00725052">
      <w:pPr>
        <w:spacing w:before="0" w:line="240" w:lineRule="atLeast"/>
      </w:pPr>
      <w:r>
        <w:fldChar w:fldCharType="begin"/>
      </w:r>
      <w:r>
        <w:instrText xml:space="preserve"> HYPERLINK \o "blocked::http://www.crestcom.cz http://www.crestcom.cz/" </w:instrText>
      </w:r>
      <w:r>
        <w:fldChar w:fldCharType="separate"/>
      </w:r>
      <w:r w:rsidR="00424771">
        <w:rPr>
          <w:b/>
          <w:bCs/>
        </w:rPr>
        <w:t>Chyba! Odkaz není platný.</w:t>
      </w:r>
      <w:r>
        <w:rPr>
          <w:b/>
          <w:bCs/>
        </w:rPr>
        <w:fldChar w:fldCharType="end"/>
      </w:r>
    </w:p>
    <w:p w14:paraId="608210D3" w14:textId="09293958" w:rsidR="000E2910" w:rsidRDefault="00725052" w:rsidP="005A5AB1">
      <w:pPr>
        <w:spacing w:before="0" w:line="240" w:lineRule="atLeast"/>
        <w:rPr>
          <w:rStyle w:val="Hypertextovodkaz"/>
        </w:rPr>
      </w:pPr>
      <w:r w:rsidRPr="00455A3C">
        <w:rPr>
          <w:color w:val="000000"/>
        </w:rPr>
        <w:t xml:space="preserve">e-mail: </w:t>
      </w:r>
      <w:hyperlink r:id="rId12" w:history="1">
        <w:r w:rsidRPr="00E23FD4">
          <w:rPr>
            <w:rStyle w:val="Hypertextovodkaz"/>
          </w:rPr>
          <w:t>eliska.krohova@crestcom.cz</w:t>
        </w:r>
      </w:hyperlink>
    </w:p>
    <w:p w14:paraId="0D899B98" w14:textId="77777777" w:rsidR="005A5AB1" w:rsidRPr="005A5AB1" w:rsidRDefault="005A5AB1" w:rsidP="005A5AB1">
      <w:pPr>
        <w:pStyle w:val="F2-zkladn"/>
      </w:pPr>
    </w:p>
    <w:p w14:paraId="6A2B2C4E"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790519B6" w14:textId="28D60230" w:rsidR="00F0467A" w:rsidRPr="007F7212" w:rsidRDefault="00D404D5" w:rsidP="007F7212">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4096B4C3" w14:textId="77777777" w:rsidR="00424771" w:rsidRDefault="00424771" w:rsidP="009D1594">
      <w:pPr>
        <w:rPr>
          <w:b/>
          <w:bCs/>
        </w:rPr>
      </w:pPr>
    </w:p>
    <w:p w14:paraId="303EF17F" w14:textId="77777777" w:rsidR="00424771" w:rsidRPr="00424771" w:rsidRDefault="00424771" w:rsidP="00424771">
      <w:pPr>
        <w:pStyle w:val="F2-zkladn"/>
        <w:rPr>
          <w:b/>
          <w:bCs/>
        </w:rPr>
      </w:pPr>
      <w:r w:rsidRPr="00424771">
        <w:rPr>
          <w:b/>
          <w:bCs/>
        </w:rPr>
        <w:t>Důležité upozornění</w:t>
      </w:r>
    </w:p>
    <w:p w14:paraId="79C36083" w14:textId="77777777" w:rsidR="00424771" w:rsidRDefault="00424771" w:rsidP="00424771">
      <w:pPr>
        <w:pStyle w:val="F2-zkladn"/>
      </w:pPr>
      <w:r>
        <w:t>Toto je propagační materiál. Tento dokument nesmí být bez předchozího souhlasu rozmnožován nebo rozšiřován.</w:t>
      </w:r>
    </w:p>
    <w:p w14:paraId="575A7773" w14:textId="77777777" w:rsidR="00424771" w:rsidRDefault="00424771" w:rsidP="00424771">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44A56C57" w14:textId="77777777" w:rsidR="00424771" w:rsidRDefault="00424771" w:rsidP="00424771">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193A1F39" w14:textId="77777777" w:rsidR="00424771" w:rsidRDefault="00424771" w:rsidP="00424771">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65CC8A79" w14:textId="77777777" w:rsidR="00424771" w:rsidRDefault="00424771" w:rsidP="00424771">
      <w:pPr>
        <w:pStyle w:val="F2-zkladn"/>
      </w:pPr>
      <w:r>
        <w:lastRenderedPageBreak/>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2E929B5" w14:textId="77777777" w:rsidR="00424771" w:rsidRDefault="00424771" w:rsidP="00424771">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75F1F837" w14:textId="77777777" w:rsidR="00424771" w:rsidRDefault="00424771" w:rsidP="00424771">
      <w:pPr>
        <w:pStyle w:val="F2-zkladn"/>
      </w:pPr>
      <w:r>
        <w:t>Minulá výkonnost není spolehlivým ukazatelem budoucích výsledků.</w:t>
      </w:r>
    </w:p>
    <w:p w14:paraId="5ECC52BC" w14:textId="77777777" w:rsidR="00424771" w:rsidRDefault="00424771" w:rsidP="00424771">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5F8EE0C5" w14:textId="77777777" w:rsidR="00424771" w:rsidRDefault="00424771" w:rsidP="00424771">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0751C3AE" w14:textId="77777777" w:rsidR="00424771" w:rsidRDefault="00424771" w:rsidP="00424771">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66CCA314" w14:textId="77777777" w:rsidR="00424771" w:rsidRDefault="00424771" w:rsidP="00424771">
      <w:pPr>
        <w:pStyle w:val="F2-zkladn"/>
      </w:pPr>
      <w:r>
        <w:t>Investoři a potenciální investoři mohou získat informace o svých právech ve spojení se stížnostmi a soudními spory na tomto odkazu: https://www.fidelity.cz (v češtině).</w:t>
      </w:r>
    </w:p>
    <w:p w14:paraId="42EEB31A" w14:textId="23978CA2" w:rsidR="009D1594" w:rsidRPr="009D1594" w:rsidRDefault="00424771" w:rsidP="00424771">
      <w:pPr>
        <w:pStyle w:val="F2-zkladn"/>
      </w:pPr>
      <w:r>
        <w:t>MKAT10795</w:t>
      </w:r>
    </w:p>
    <w:sectPr w:rsidR="009D1594" w:rsidRPr="009D1594" w:rsidSect="002F1160">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BF99F" w14:textId="77777777" w:rsidR="008B298E" w:rsidRDefault="008B298E">
      <w:r>
        <w:separator/>
      </w:r>
    </w:p>
  </w:endnote>
  <w:endnote w:type="continuationSeparator" w:id="0">
    <w:p w14:paraId="7BC2928D" w14:textId="77777777" w:rsidR="008B298E" w:rsidRDefault="008B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38A4"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FE86" w14:textId="77777777" w:rsidR="008B298E" w:rsidRDefault="008B298E">
      <w:r>
        <w:separator/>
      </w:r>
    </w:p>
  </w:footnote>
  <w:footnote w:type="continuationSeparator" w:id="0">
    <w:p w14:paraId="17D13D87" w14:textId="77777777" w:rsidR="008B298E" w:rsidRDefault="008B298E">
      <w:r>
        <w:continuationSeparator/>
      </w:r>
    </w:p>
  </w:footnote>
  <w:footnote w:type="continuationNotice" w:id="1">
    <w:p w14:paraId="0AA5F084" w14:textId="77777777" w:rsidR="008B298E" w:rsidRDefault="008B29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5978"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E5CC" w14:textId="77777777" w:rsidR="001D1343" w:rsidRDefault="0018797C">
    <w:pPr>
      <w:pStyle w:val="Zhlav"/>
    </w:pPr>
    <w:r>
      <w:rPr>
        <w:noProof/>
      </w:rPr>
      <w:drawing>
        <wp:anchor distT="0" distB="0" distL="114300" distR="114300" simplePos="0" relativeHeight="251657728" behindDoc="0" locked="0" layoutInCell="1" allowOverlap="1" wp14:anchorId="0139C797" wp14:editId="20AA8FAC">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0309516" w14:textId="77777777" w:rsidR="001D1343" w:rsidRDefault="001D1343">
    <w:pPr>
      <w:pStyle w:val="Zhlav"/>
    </w:pPr>
  </w:p>
  <w:p w14:paraId="62D4158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5341C23"/>
    <w:multiLevelType w:val="hybridMultilevel"/>
    <w:tmpl w:val="5DBA0010"/>
    <w:lvl w:ilvl="0" w:tplc="E7DEC30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7"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77724"/>
    <w:multiLevelType w:val="hybridMultilevel"/>
    <w:tmpl w:val="02221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BD25466"/>
    <w:multiLevelType w:val="hybridMultilevel"/>
    <w:tmpl w:val="7A70B588"/>
    <w:lvl w:ilvl="0" w:tplc="7592CB3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8"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9"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F82410D"/>
    <w:multiLevelType w:val="hybridMultilevel"/>
    <w:tmpl w:val="C1A46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83B6AF1"/>
    <w:multiLevelType w:val="hybridMultilevel"/>
    <w:tmpl w:val="2334CEEE"/>
    <w:lvl w:ilvl="0" w:tplc="CC4E72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6"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40"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42"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5"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BE01435"/>
    <w:multiLevelType w:val="hybridMultilevel"/>
    <w:tmpl w:val="F5E4CB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20050421">
    <w:abstractNumId w:val="28"/>
  </w:num>
  <w:num w:numId="2" w16cid:durableId="779689308">
    <w:abstractNumId w:val="16"/>
  </w:num>
  <w:num w:numId="3" w16cid:durableId="1688828385">
    <w:abstractNumId w:val="41"/>
  </w:num>
  <w:num w:numId="4" w16cid:durableId="26688422">
    <w:abstractNumId w:val="45"/>
  </w:num>
  <w:num w:numId="5" w16cid:durableId="14163295">
    <w:abstractNumId w:val="24"/>
  </w:num>
  <w:num w:numId="6" w16cid:durableId="1405183283">
    <w:abstractNumId w:val="26"/>
  </w:num>
  <w:num w:numId="7" w16cid:durableId="1986161017">
    <w:abstractNumId w:val="20"/>
  </w:num>
  <w:num w:numId="8" w16cid:durableId="186600767">
    <w:abstractNumId w:val="44"/>
  </w:num>
  <w:num w:numId="9" w16cid:durableId="522473123">
    <w:abstractNumId w:val="33"/>
  </w:num>
  <w:num w:numId="10" w16cid:durableId="714084472">
    <w:abstractNumId w:val="8"/>
  </w:num>
  <w:num w:numId="11" w16cid:durableId="72288419">
    <w:abstractNumId w:val="3"/>
  </w:num>
  <w:num w:numId="12" w16cid:durableId="163128104">
    <w:abstractNumId w:val="2"/>
  </w:num>
  <w:num w:numId="13" w16cid:durableId="28338967">
    <w:abstractNumId w:val="1"/>
  </w:num>
  <w:num w:numId="14" w16cid:durableId="1540438332">
    <w:abstractNumId w:val="0"/>
  </w:num>
  <w:num w:numId="15" w16cid:durableId="1510561593">
    <w:abstractNumId w:val="10"/>
  </w:num>
  <w:num w:numId="16" w16cid:durableId="1559977929">
    <w:abstractNumId w:val="9"/>
  </w:num>
  <w:num w:numId="17" w16cid:durableId="1106146971">
    <w:abstractNumId w:val="7"/>
  </w:num>
  <w:num w:numId="18" w16cid:durableId="1077820284">
    <w:abstractNumId w:val="6"/>
  </w:num>
  <w:num w:numId="19" w16cid:durableId="1317958770">
    <w:abstractNumId w:val="5"/>
  </w:num>
  <w:num w:numId="20" w16cid:durableId="1657296198">
    <w:abstractNumId w:val="4"/>
  </w:num>
  <w:num w:numId="21" w16cid:durableId="1927614332">
    <w:abstractNumId w:val="43"/>
  </w:num>
  <w:num w:numId="22" w16cid:durableId="8332244">
    <w:abstractNumId w:val="40"/>
  </w:num>
  <w:num w:numId="23" w16cid:durableId="447747503">
    <w:abstractNumId w:val="15"/>
  </w:num>
  <w:num w:numId="24" w16cid:durableId="1888760678">
    <w:abstractNumId w:val="23"/>
  </w:num>
  <w:num w:numId="25" w16cid:durableId="15064803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6731195">
    <w:abstractNumId w:val="39"/>
  </w:num>
  <w:num w:numId="27" w16cid:durableId="2038000176">
    <w:abstractNumId w:val="42"/>
  </w:num>
  <w:num w:numId="28" w16cid:durableId="312023296">
    <w:abstractNumId w:val="32"/>
  </w:num>
  <w:num w:numId="29" w16cid:durableId="18650943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6634718">
    <w:abstractNumId w:val="36"/>
  </w:num>
  <w:num w:numId="31" w16cid:durableId="1191264203">
    <w:abstractNumId w:val="19"/>
  </w:num>
  <w:num w:numId="32" w16cid:durableId="1805002712">
    <w:abstractNumId w:val="13"/>
  </w:num>
  <w:num w:numId="33" w16cid:durableId="841895755">
    <w:abstractNumId w:val="34"/>
  </w:num>
  <w:num w:numId="34" w16cid:durableId="1728140073">
    <w:abstractNumId w:val="12"/>
  </w:num>
  <w:num w:numId="35" w16cid:durableId="376467772">
    <w:abstractNumId w:val="38"/>
  </w:num>
  <w:num w:numId="36" w16cid:durableId="821772756">
    <w:abstractNumId w:val="11"/>
  </w:num>
  <w:num w:numId="37" w16cid:durableId="1808207969">
    <w:abstractNumId w:val="35"/>
  </w:num>
  <w:num w:numId="38" w16cid:durableId="946503038">
    <w:abstractNumId w:val="22"/>
  </w:num>
  <w:num w:numId="39" w16cid:durableId="1847941895">
    <w:abstractNumId w:val="29"/>
  </w:num>
  <w:num w:numId="40" w16cid:durableId="1778523920">
    <w:abstractNumId w:val="18"/>
  </w:num>
  <w:num w:numId="41" w16cid:durableId="1472088951">
    <w:abstractNumId w:val="37"/>
  </w:num>
  <w:num w:numId="42" w16cid:durableId="557402430">
    <w:abstractNumId w:val="17"/>
  </w:num>
  <w:num w:numId="43" w16cid:durableId="1113745780">
    <w:abstractNumId w:val="25"/>
  </w:num>
  <w:num w:numId="44" w16cid:durableId="1010690">
    <w:abstractNumId w:val="27"/>
  </w:num>
  <w:num w:numId="45" w16cid:durableId="964432982">
    <w:abstractNumId w:val="30"/>
  </w:num>
  <w:num w:numId="46" w16cid:durableId="55666736">
    <w:abstractNumId w:val="14"/>
  </w:num>
  <w:num w:numId="47" w16cid:durableId="1328897157">
    <w:abstractNumId w:val="21"/>
  </w:num>
  <w:num w:numId="48" w16cid:durableId="1465731029">
    <w:abstractNumId w:val="46"/>
  </w:num>
  <w:num w:numId="49" w16cid:durableId="1427337469">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21D97"/>
    <w:rsid w:val="000237A9"/>
    <w:rsid w:val="00026B23"/>
    <w:rsid w:val="00032CD3"/>
    <w:rsid w:val="00033378"/>
    <w:rsid w:val="0003583E"/>
    <w:rsid w:val="00035DD6"/>
    <w:rsid w:val="000363FF"/>
    <w:rsid w:val="00040650"/>
    <w:rsid w:val="00040CE8"/>
    <w:rsid w:val="00040DEC"/>
    <w:rsid w:val="00041B2D"/>
    <w:rsid w:val="00045D38"/>
    <w:rsid w:val="00047888"/>
    <w:rsid w:val="00047D97"/>
    <w:rsid w:val="00047F54"/>
    <w:rsid w:val="000502C0"/>
    <w:rsid w:val="00050575"/>
    <w:rsid w:val="00052178"/>
    <w:rsid w:val="0005404F"/>
    <w:rsid w:val="00054FEF"/>
    <w:rsid w:val="00061775"/>
    <w:rsid w:val="00062BEA"/>
    <w:rsid w:val="000702F0"/>
    <w:rsid w:val="0007034E"/>
    <w:rsid w:val="0007090F"/>
    <w:rsid w:val="00070C89"/>
    <w:rsid w:val="00071169"/>
    <w:rsid w:val="00073A88"/>
    <w:rsid w:val="00073D6F"/>
    <w:rsid w:val="000755DF"/>
    <w:rsid w:val="000763EB"/>
    <w:rsid w:val="000767DF"/>
    <w:rsid w:val="00076A25"/>
    <w:rsid w:val="00076A2B"/>
    <w:rsid w:val="00080750"/>
    <w:rsid w:val="00081DCE"/>
    <w:rsid w:val="00084075"/>
    <w:rsid w:val="00091210"/>
    <w:rsid w:val="00092137"/>
    <w:rsid w:val="000923E4"/>
    <w:rsid w:val="00093C6A"/>
    <w:rsid w:val="00093E98"/>
    <w:rsid w:val="000940D0"/>
    <w:rsid w:val="000A2833"/>
    <w:rsid w:val="000A2D6F"/>
    <w:rsid w:val="000A3FFF"/>
    <w:rsid w:val="000A5FDF"/>
    <w:rsid w:val="000A755E"/>
    <w:rsid w:val="000B0FBB"/>
    <w:rsid w:val="000B2426"/>
    <w:rsid w:val="000B57A2"/>
    <w:rsid w:val="000C0E0E"/>
    <w:rsid w:val="000C17C8"/>
    <w:rsid w:val="000C4D6D"/>
    <w:rsid w:val="000C5471"/>
    <w:rsid w:val="000C727D"/>
    <w:rsid w:val="000C772F"/>
    <w:rsid w:val="000D25CC"/>
    <w:rsid w:val="000D3C66"/>
    <w:rsid w:val="000D580F"/>
    <w:rsid w:val="000E2910"/>
    <w:rsid w:val="000E3678"/>
    <w:rsid w:val="000E3D98"/>
    <w:rsid w:val="000E42A1"/>
    <w:rsid w:val="000E5D25"/>
    <w:rsid w:val="000E7418"/>
    <w:rsid w:val="000F0587"/>
    <w:rsid w:val="000F1AE6"/>
    <w:rsid w:val="000F2443"/>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2511"/>
    <w:rsid w:val="00172F1C"/>
    <w:rsid w:val="0017506A"/>
    <w:rsid w:val="00177E1C"/>
    <w:rsid w:val="0018406F"/>
    <w:rsid w:val="0018525E"/>
    <w:rsid w:val="0018797C"/>
    <w:rsid w:val="00193268"/>
    <w:rsid w:val="00193655"/>
    <w:rsid w:val="00193CC3"/>
    <w:rsid w:val="00194945"/>
    <w:rsid w:val="00197E01"/>
    <w:rsid w:val="001A085A"/>
    <w:rsid w:val="001A0CB6"/>
    <w:rsid w:val="001A1B9B"/>
    <w:rsid w:val="001A3CA7"/>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4B06"/>
    <w:rsid w:val="001F627F"/>
    <w:rsid w:val="002006D5"/>
    <w:rsid w:val="00201CD7"/>
    <w:rsid w:val="00202F64"/>
    <w:rsid w:val="00206A9C"/>
    <w:rsid w:val="00212B9E"/>
    <w:rsid w:val="00212DDA"/>
    <w:rsid w:val="00216EFA"/>
    <w:rsid w:val="0021765E"/>
    <w:rsid w:val="0021778F"/>
    <w:rsid w:val="00221EE4"/>
    <w:rsid w:val="00224347"/>
    <w:rsid w:val="00224EAE"/>
    <w:rsid w:val="00225670"/>
    <w:rsid w:val="00230204"/>
    <w:rsid w:val="0023028F"/>
    <w:rsid w:val="00230A3C"/>
    <w:rsid w:val="00230B88"/>
    <w:rsid w:val="00231842"/>
    <w:rsid w:val="00231E15"/>
    <w:rsid w:val="00232D93"/>
    <w:rsid w:val="0023608B"/>
    <w:rsid w:val="00236922"/>
    <w:rsid w:val="00236A18"/>
    <w:rsid w:val="00236C7C"/>
    <w:rsid w:val="00236FC4"/>
    <w:rsid w:val="00240FEC"/>
    <w:rsid w:val="002423A0"/>
    <w:rsid w:val="00245331"/>
    <w:rsid w:val="002476C8"/>
    <w:rsid w:val="00252C08"/>
    <w:rsid w:val="002548DB"/>
    <w:rsid w:val="00255E9C"/>
    <w:rsid w:val="00256692"/>
    <w:rsid w:val="00257859"/>
    <w:rsid w:val="0026336D"/>
    <w:rsid w:val="00267F47"/>
    <w:rsid w:val="002746C8"/>
    <w:rsid w:val="00274B2A"/>
    <w:rsid w:val="00276830"/>
    <w:rsid w:val="002772EA"/>
    <w:rsid w:val="00277457"/>
    <w:rsid w:val="0028110E"/>
    <w:rsid w:val="0028168C"/>
    <w:rsid w:val="00282531"/>
    <w:rsid w:val="00283AE5"/>
    <w:rsid w:val="00284C66"/>
    <w:rsid w:val="0029073F"/>
    <w:rsid w:val="00291676"/>
    <w:rsid w:val="00292C1D"/>
    <w:rsid w:val="00293679"/>
    <w:rsid w:val="00296721"/>
    <w:rsid w:val="00296E4C"/>
    <w:rsid w:val="00297E46"/>
    <w:rsid w:val="002A0553"/>
    <w:rsid w:val="002A44A9"/>
    <w:rsid w:val="002A4D2E"/>
    <w:rsid w:val="002B0AFD"/>
    <w:rsid w:val="002B0B15"/>
    <w:rsid w:val="002B14B5"/>
    <w:rsid w:val="002B2991"/>
    <w:rsid w:val="002B5926"/>
    <w:rsid w:val="002B6FCD"/>
    <w:rsid w:val="002B72A2"/>
    <w:rsid w:val="002B7380"/>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7E7E"/>
    <w:rsid w:val="00310E2F"/>
    <w:rsid w:val="003177AF"/>
    <w:rsid w:val="00320015"/>
    <w:rsid w:val="00321AE8"/>
    <w:rsid w:val="00322CF1"/>
    <w:rsid w:val="00327439"/>
    <w:rsid w:val="003274DC"/>
    <w:rsid w:val="00327F8D"/>
    <w:rsid w:val="003301F8"/>
    <w:rsid w:val="00331400"/>
    <w:rsid w:val="003322D8"/>
    <w:rsid w:val="003343C4"/>
    <w:rsid w:val="00340CA2"/>
    <w:rsid w:val="00341E98"/>
    <w:rsid w:val="0035034F"/>
    <w:rsid w:val="003524F1"/>
    <w:rsid w:val="00352F7A"/>
    <w:rsid w:val="00356DCD"/>
    <w:rsid w:val="0036129D"/>
    <w:rsid w:val="00371045"/>
    <w:rsid w:val="00371B42"/>
    <w:rsid w:val="00372D58"/>
    <w:rsid w:val="003731A5"/>
    <w:rsid w:val="003736DA"/>
    <w:rsid w:val="003751F0"/>
    <w:rsid w:val="0037564F"/>
    <w:rsid w:val="00382A16"/>
    <w:rsid w:val="00384699"/>
    <w:rsid w:val="003866D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1594"/>
    <w:rsid w:val="003C19B7"/>
    <w:rsid w:val="003C4059"/>
    <w:rsid w:val="003C50F1"/>
    <w:rsid w:val="003C511D"/>
    <w:rsid w:val="003C6392"/>
    <w:rsid w:val="003C681A"/>
    <w:rsid w:val="003C7DAE"/>
    <w:rsid w:val="003D2083"/>
    <w:rsid w:val="003D2B0F"/>
    <w:rsid w:val="003D626C"/>
    <w:rsid w:val="003E03EB"/>
    <w:rsid w:val="003E1363"/>
    <w:rsid w:val="003F142F"/>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337E"/>
    <w:rsid w:val="004177E3"/>
    <w:rsid w:val="004202CB"/>
    <w:rsid w:val="00420D53"/>
    <w:rsid w:val="004238B6"/>
    <w:rsid w:val="00424771"/>
    <w:rsid w:val="00425B35"/>
    <w:rsid w:val="00427801"/>
    <w:rsid w:val="0043115E"/>
    <w:rsid w:val="00431E52"/>
    <w:rsid w:val="00433AB4"/>
    <w:rsid w:val="0043546F"/>
    <w:rsid w:val="004428A1"/>
    <w:rsid w:val="004444B6"/>
    <w:rsid w:val="00445D92"/>
    <w:rsid w:val="0045291A"/>
    <w:rsid w:val="00452BD8"/>
    <w:rsid w:val="004544F8"/>
    <w:rsid w:val="00454D44"/>
    <w:rsid w:val="00455259"/>
    <w:rsid w:val="00455A3C"/>
    <w:rsid w:val="0046155B"/>
    <w:rsid w:val="00463E8F"/>
    <w:rsid w:val="00464475"/>
    <w:rsid w:val="00466116"/>
    <w:rsid w:val="004705A5"/>
    <w:rsid w:val="004715F4"/>
    <w:rsid w:val="0047275D"/>
    <w:rsid w:val="00475575"/>
    <w:rsid w:val="004761F2"/>
    <w:rsid w:val="00480C04"/>
    <w:rsid w:val="00480E25"/>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6300"/>
    <w:rsid w:val="004F1DDB"/>
    <w:rsid w:val="004F2995"/>
    <w:rsid w:val="004F324F"/>
    <w:rsid w:val="004F4064"/>
    <w:rsid w:val="004F5136"/>
    <w:rsid w:val="004F688F"/>
    <w:rsid w:val="004F7624"/>
    <w:rsid w:val="005007C8"/>
    <w:rsid w:val="005021C7"/>
    <w:rsid w:val="00502D84"/>
    <w:rsid w:val="00506CD0"/>
    <w:rsid w:val="00510980"/>
    <w:rsid w:val="00512AEC"/>
    <w:rsid w:val="00512D81"/>
    <w:rsid w:val="0051504C"/>
    <w:rsid w:val="005172B1"/>
    <w:rsid w:val="005206E2"/>
    <w:rsid w:val="00521ADE"/>
    <w:rsid w:val="0052280A"/>
    <w:rsid w:val="005248D0"/>
    <w:rsid w:val="00525B77"/>
    <w:rsid w:val="0053070C"/>
    <w:rsid w:val="005314DF"/>
    <w:rsid w:val="005331B5"/>
    <w:rsid w:val="00534D3B"/>
    <w:rsid w:val="005351B3"/>
    <w:rsid w:val="005437B4"/>
    <w:rsid w:val="0054471F"/>
    <w:rsid w:val="005459F5"/>
    <w:rsid w:val="00545B68"/>
    <w:rsid w:val="00546CB9"/>
    <w:rsid w:val="00546DF7"/>
    <w:rsid w:val="0055121B"/>
    <w:rsid w:val="00552B6E"/>
    <w:rsid w:val="00556D4F"/>
    <w:rsid w:val="00557A71"/>
    <w:rsid w:val="00560AED"/>
    <w:rsid w:val="005623DD"/>
    <w:rsid w:val="00563B23"/>
    <w:rsid w:val="0056452E"/>
    <w:rsid w:val="005656FB"/>
    <w:rsid w:val="00567010"/>
    <w:rsid w:val="00570CA6"/>
    <w:rsid w:val="00570F18"/>
    <w:rsid w:val="0057123D"/>
    <w:rsid w:val="005720AF"/>
    <w:rsid w:val="0057387E"/>
    <w:rsid w:val="005847DC"/>
    <w:rsid w:val="005856EF"/>
    <w:rsid w:val="00585CC6"/>
    <w:rsid w:val="00591893"/>
    <w:rsid w:val="00592351"/>
    <w:rsid w:val="00593457"/>
    <w:rsid w:val="00594C42"/>
    <w:rsid w:val="00596841"/>
    <w:rsid w:val="0059684A"/>
    <w:rsid w:val="005A0345"/>
    <w:rsid w:val="005A0903"/>
    <w:rsid w:val="005A2203"/>
    <w:rsid w:val="005A25B7"/>
    <w:rsid w:val="005A33F3"/>
    <w:rsid w:val="005A3C0F"/>
    <w:rsid w:val="005A3EC1"/>
    <w:rsid w:val="005A5AB1"/>
    <w:rsid w:val="005A658B"/>
    <w:rsid w:val="005B1B79"/>
    <w:rsid w:val="005B2F2A"/>
    <w:rsid w:val="005B6F85"/>
    <w:rsid w:val="005C00A9"/>
    <w:rsid w:val="005C4078"/>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4F7E"/>
    <w:rsid w:val="0061601E"/>
    <w:rsid w:val="00617053"/>
    <w:rsid w:val="00617E2A"/>
    <w:rsid w:val="00620ECE"/>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2746"/>
    <w:rsid w:val="00683717"/>
    <w:rsid w:val="00684132"/>
    <w:rsid w:val="00685B75"/>
    <w:rsid w:val="006867CC"/>
    <w:rsid w:val="00690C50"/>
    <w:rsid w:val="00692EE8"/>
    <w:rsid w:val="00696362"/>
    <w:rsid w:val="006A04AE"/>
    <w:rsid w:val="006A0E52"/>
    <w:rsid w:val="006A25B4"/>
    <w:rsid w:val="006A4A62"/>
    <w:rsid w:val="006A7552"/>
    <w:rsid w:val="006B01B9"/>
    <w:rsid w:val="006B0439"/>
    <w:rsid w:val="006B0D10"/>
    <w:rsid w:val="006B0EC2"/>
    <w:rsid w:val="006B13D4"/>
    <w:rsid w:val="006B5383"/>
    <w:rsid w:val="006B6A37"/>
    <w:rsid w:val="006D4517"/>
    <w:rsid w:val="006D7B5A"/>
    <w:rsid w:val="006E1E9E"/>
    <w:rsid w:val="006E4279"/>
    <w:rsid w:val="006E4913"/>
    <w:rsid w:val="006E5555"/>
    <w:rsid w:val="006E5B47"/>
    <w:rsid w:val="006E7DAC"/>
    <w:rsid w:val="006F15CC"/>
    <w:rsid w:val="006F1CCA"/>
    <w:rsid w:val="006F2C0E"/>
    <w:rsid w:val="006F640B"/>
    <w:rsid w:val="0070043C"/>
    <w:rsid w:val="007046FB"/>
    <w:rsid w:val="00705A61"/>
    <w:rsid w:val="00710424"/>
    <w:rsid w:val="007109F6"/>
    <w:rsid w:val="00713F83"/>
    <w:rsid w:val="00715F45"/>
    <w:rsid w:val="00716604"/>
    <w:rsid w:val="0071719A"/>
    <w:rsid w:val="0071726D"/>
    <w:rsid w:val="007176A7"/>
    <w:rsid w:val="007204B4"/>
    <w:rsid w:val="00720781"/>
    <w:rsid w:val="00722B07"/>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741B"/>
    <w:rsid w:val="00771D19"/>
    <w:rsid w:val="00774584"/>
    <w:rsid w:val="007747BE"/>
    <w:rsid w:val="00781625"/>
    <w:rsid w:val="00781792"/>
    <w:rsid w:val="00782512"/>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A4B"/>
    <w:rsid w:val="007E326A"/>
    <w:rsid w:val="007F1637"/>
    <w:rsid w:val="007F1B11"/>
    <w:rsid w:val="007F1FBA"/>
    <w:rsid w:val="007F4ABD"/>
    <w:rsid w:val="007F7212"/>
    <w:rsid w:val="007F7B5C"/>
    <w:rsid w:val="00800307"/>
    <w:rsid w:val="00800365"/>
    <w:rsid w:val="00800399"/>
    <w:rsid w:val="008014EC"/>
    <w:rsid w:val="008029B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98F"/>
    <w:rsid w:val="00890B69"/>
    <w:rsid w:val="008936B3"/>
    <w:rsid w:val="008976A7"/>
    <w:rsid w:val="008A0E63"/>
    <w:rsid w:val="008A2257"/>
    <w:rsid w:val="008A33CE"/>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5911"/>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6916"/>
    <w:rsid w:val="00950C28"/>
    <w:rsid w:val="00951993"/>
    <w:rsid w:val="00953E57"/>
    <w:rsid w:val="00954CC0"/>
    <w:rsid w:val="00955C25"/>
    <w:rsid w:val="00956BB5"/>
    <w:rsid w:val="00957676"/>
    <w:rsid w:val="009621B2"/>
    <w:rsid w:val="00963A1A"/>
    <w:rsid w:val="00964590"/>
    <w:rsid w:val="0096654A"/>
    <w:rsid w:val="00971196"/>
    <w:rsid w:val="00973755"/>
    <w:rsid w:val="00980736"/>
    <w:rsid w:val="00983F39"/>
    <w:rsid w:val="00984390"/>
    <w:rsid w:val="00985839"/>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7220"/>
    <w:rsid w:val="009B76CB"/>
    <w:rsid w:val="009B7D6C"/>
    <w:rsid w:val="009C04EB"/>
    <w:rsid w:val="009C1AD6"/>
    <w:rsid w:val="009C28E1"/>
    <w:rsid w:val="009C2E55"/>
    <w:rsid w:val="009C3DB4"/>
    <w:rsid w:val="009C3F13"/>
    <w:rsid w:val="009C7C8F"/>
    <w:rsid w:val="009D0450"/>
    <w:rsid w:val="009D1594"/>
    <w:rsid w:val="009D1FBA"/>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414F"/>
    <w:rsid w:val="00A7627C"/>
    <w:rsid w:val="00A81405"/>
    <w:rsid w:val="00A82FF0"/>
    <w:rsid w:val="00A92670"/>
    <w:rsid w:val="00A96434"/>
    <w:rsid w:val="00AA2944"/>
    <w:rsid w:val="00AA3179"/>
    <w:rsid w:val="00AB1635"/>
    <w:rsid w:val="00AB297D"/>
    <w:rsid w:val="00AC031E"/>
    <w:rsid w:val="00AC31F2"/>
    <w:rsid w:val="00AC35C4"/>
    <w:rsid w:val="00AC4154"/>
    <w:rsid w:val="00AD18B4"/>
    <w:rsid w:val="00AD4FB0"/>
    <w:rsid w:val="00AD7F13"/>
    <w:rsid w:val="00AE117D"/>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8ED"/>
    <w:rsid w:val="00B43502"/>
    <w:rsid w:val="00B4391E"/>
    <w:rsid w:val="00B46384"/>
    <w:rsid w:val="00B514DC"/>
    <w:rsid w:val="00B522AA"/>
    <w:rsid w:val="00B60AED"/>
    <w:rsid w:val="00B60B0D"/>
    <w:rsid w:val="00B627D5"/>
    <w:rsid w:val="00B62AB3"/>
    <w:rsid w:val="00B63B5B"/>
    <w:rsid w:val="00B64E9D"/>
    <w:rsid w:val="00B678D4"/>
    <w:rsid w:val="00B7404A"/>
    <w:rsid w:val="00B75AC6"/>
    <w:rsid w:val="00B81F91"/>
    <w:rsid w:val="00B839BA"/>
    <w:rsid w:val="00B86C35"/>
    <w:rsid w:val="00B86DD8"/>
    <w:rsid w:val="00B87C14"/>
    <w:rsid w:val="00B92703"/>
    <w:rsid w:val="00B93072"/>
    <w:rsid w:val="00B94EFB"/>
    <w:rsid w:val="00B97C18"/>
    <w:rsid w:val="00B97EC1"/>
    <w:rsid w:val="00BA1692"/>
    <w:rsid w:val="00BA1BBA"/>
    <w:rsid w:val="00BA2267"/>
    <w:rsid w:val="00BA2E58"/>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5CF2"/>
    <w:rsid w:val="00BE72E5"/>
    <w:rsid w:val="00BF067E"/>
    <w:rsid w:val="00BF22E7"/>
    <w:rsid w:val="00BF2883"/>
    <w:rsid w:val="00BF6FA9"/>
    <w:rsid w:val="00C02033"/>
    <w:rsid w:val="00C05FD9"/>
    <w:rsid w:val="00C06BBC"/>
    <w:rsid w:val="00C06C54"/>
    <w:rsid w:val="00C105ED"/>
    <w:rsid w:val="00C109F0"/>
    <w:rsid w:val="00C11925"/>
    <w:rsid w:val="00C13AC2"/>
    <w:rsid w:val="00C16BE6"/>
    <w:rsid w:val="00C20BEA"/>
    <w:rsid w:val="00C2433C"/>
    <w:rsid w:val="00C24C84"/>
    <w:rsid w:val="00C26014"/>
    <w:rsid w:val="00C264F8"/>
    <w:rsid w:val="00C27D23"/>
    <w:rsid w:val="00C31313"/>
    <w:rsid w:val="00C32874"/>
    <w:rsid w:val="00C37286"/>
    <w:rsid w:val="00C41668"/>
    <w:rsid w:val="00C44F7A"/>
    <w:rsid w:val="00C45666"/>
    <w:rsid w:val="00C47754"/>
    <w:rsid w:val="00C47D30"/>
    <w:rsid w:val="00C500E2"/>
    <w:rsid w:val="00C5024B"/>
    <w:rsid w:val="00C557BA"/>
    <w:rsid w:val="00C600E8"/>
    <w:rsid w:val="00C64618"/>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4525"/>
    <w:rsid w:val="00CB72AF"/>
    <w:rsid w:val="00CB7359"/>
    <w:rsid w:val="00CC0133"/>
    <w:rsid w:val="00CC18C3"/>
    <w:rsid w:val="00CC4530"/>
    <w:rsid w:val="00CC56BB"/>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10B90"/>
    <w:rsid w:val="00D113F1"/>
    <w:rsid w:val="00D12387"/>
    <w:rsid w:val="00D13663"/>
    <w:rsid w:val="00D13E3F"/>
    <w:rsid w:val="00D149A1"/>
    <w:rsid w:val="00D17B15"/>
    <w:rsid w:val="00D20884"/>
    <w:rsid w:val="00D22687"/>
    <w:rsid w:val="00D26951"/>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71699"/>
    <w:rsid w:val="00D73493"/>
    <w:rsid w:val="00D74098"/>
    <w:rsid w:val="00D74264"/>
    <w:rsid w:val="00D749C9"/>
    <w:rsid w:val="00D74DEF"/>
    <w:rsid w:val="00D81C1F"/>
    <w:rsid w:val="00D83636"/>
    <w:rsid w:val="00D85F98"/>
    <w:rsid w:val="00D869C3"/>
    <w:rsid w:val="00D905D5"/>
    <w:rsid w:val="00D91AE1"/>
    <w:rsid w:val="00DA4689"/>
    <w:rsid w:val="00DA474C"/>
    <w:rsid w:val="00DA4891"/>
    <w:rsid w:val="00DA6B7D"/>
    <w:rsid w:val="00DB02C0"/>
    <w:rsid w:val="00DB0357"/>
    <w:rsid w:val="00DB2227"/>
    <w:rsid w:val="00DB79E4"/>
    <w:rsid w:val="00DC06A4"/>
    <w:rsid w:val="00DC2BF8"/>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6183"/>
    <w:rsid w:val="00E072D8"/>
    <w:rsid w:val="00E10C0D"/>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6ECC"/>
    <w:rsid w:val="00E57FEE"/>
    <w:rsid w:val="00E629C3"/>
    <w:rsid w:val="00E715FD"/>
    <w:rsid w:val="00E71601"/>
    <w:rsid w:val="00E71F11"/>
    <w:rsid w:val="00E736B3"/>
    <w:rsid w:val="00E73C8D"/>
    <w:rsid w:val="00E758D8"/>
    <w:rsid w:val="00E7728D"/>
    <w:rsid w:val="00E7795C"/>
    <w:rsid w:val="00E83C37"/>
    <w:rsid w:val="00E87B8E"/>
    <w:rsid w:val="00E900D1"/>
    <w:rsid w:val="00E90673"/>
    <w:rsid w:val="00E92149"/>
    <w:rsid w:val="00E926EA"/>
    <w:rsid w:val="00E932CE"/>
    <w:rsid w:val="00E9330B"/>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2F45"/>
    <w:rsid w:val="00F64615"/>
    <w:rsid w:val="00F65669"/>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082C"/>
    <w:rsid w:val="00FC2426"/>
    <w:rsid w:val="00FC3827"/>
    <w:rsid w:val="00FC3AF0"/>
    <w:rsid w:val="00FC3BFD"/>
    <w:rsid w:val="00FC4B9F"/>
    <w:rsid w:val="00FC4DD0"/>
    <w:rsid w:val="00FC6196"/>
    <w:rsid w:val="00FC654F"/>
    <w:rsid w:val="00FC77AF"/>
    <w:rsid w:val="00FC79C6"/>
    <w:rsid w:val="00FD00C2"/>
    <w:rsid w:val="00FD1226"/>
    <w:rsid w:val="00FD6B02"/>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BFFF6"/>
  <w15:chartTrackingRefBased/>
  <w15:docId w15:val="{22319194-5CD1-48D7-959E-B74B151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Number" w:uiPriority="99"/>
    <w:lsdException w:name="Title" w:uiPriority="10"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iska.krohova@crestcom.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C9DB-2F8C-46AB-9885-E5F25284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1451</Words>
  <Characters>8566</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9998</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Dokumenty Crestcom</cp:lastModifiedBy>
  <cp:revision>2</cp:revision>
  <cp:lastPrinted>2015-11-30T16:29:00Z</cp:lastPrinted>
  <dcterms:created xsi:type="dcterms:W3CDTF">2022-07-22T10:30:00Z</dcterms:created>
  <dcterms:modified xsi:type="dcterms:W3CDTF">2022-07-22T10:30:00Z</dcterms:modified>
</cp:coreProperties>
</file>