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6B81" w14:textId="4C7F7775" w:rsidR="00D37A13" w:rsidRPr="005B47EE" w:rsidRDefault="005B47EE" w:rsidP="00D37A13">
      <w:pPr>
        <w:spacing w:after="0" w:line="580" w:lineRule="exact"/>
        <w:rPr>
          <w:rFonts w:ascii="Arial Black" w:hAnsi="Arial Black"/>
          <w:caps/>
          <w:color w:val="E9041E"/>
          <w:sz w:val="48"/>
          <w:szCs w:val="48"/>
        </w:rPr>
      </w:pPr>
      <w:r w:rsidRPr="005B47EE">
        <w:rPr>
          <w:rFonts w:ascii="Arial Black" w:hAnsi="Arial Black"/>
          <w:color w:val="E9041E"/>
          <w:sz w:val="48"/>
          <w:szCs w:val="48"/>
        </w:rPr>
        <w:t>Komerční banka a MONETA Money Bank budou sdílet</w:t>
      </w:r>
      <w:r w:rsidR="00244BCF" w:rsidRPr="005B47EE">
        <w:rPr>
          <w:rFonts w:ascii="Arial Black" w:hAnsi="Arial Black"/>
          <w:caps/>
          <w:color w:val="E9041E"/>
          <w:sz w:val="48"/>
          <w:szCs w:val="48"/>
        </w:rPr>
        <w:t xml:space="preserve"> </w:t>
      </w:r>
      <w:r w:rsidRPr="005B47EE">
        <w:rPr>
          <w:rFonts w:ascii="Arial Black" w:hAnsi="Arial Black"/>
          <w:color w:val="E9041E"/>
          <w:sz w:val="48"/>
          <w:szCs w:val="48"/>
        </w:rPr>
        <w:t>bankomaty</w:t>
      </w:r>
    </w:p>
    <w:p w14:paraId="0E69BC79" w14:textId="2B47E4E9" w:rsidR="00283C19" w:rsidRPr="00942851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942851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1C1033" wp14:editId="34A64A3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8D004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942851">
        <w:rPr>
          <w:rFonts w:ascii="Calibri" w:hAnsi="Calibri" w:cs="Calibri"/>
          <w:sz w:val="30"/>
          <w:szCs w:val="30"/>
        </w:rPr>
        <w:t xml:space="preserve">Praha, </w:t>
      </w:r>
      <w:r w:rsidR="00FA6ED2">
        <w:rPr>
          <w:rFonts w:ascii="Calibri" w:hAnsi="Calibri" w:cs="Calibri"/>
          <w:sz w:val="30"/>
          <w:szCs w:val="30"/>
        </w:rPr>
        <w:t>30</w:t>
      </w:r>
      <w:r w:rsidRPr="00942851">
        <w:rPr>
          <w:rFonts w:ascii="Calibri" w:hAnsi="Calibri" w:cs="Calibri"/>
          <w:sz w:val="30"/>
          <w:szCs w:val="30"/>
        </w:rPr>
        <w:t>.</w:t>
      </w:r>
      <w:r w:rsidR="00D37A13" w:rsidRPr="00942851">
        <w:rPr>
          <w:rFonts w:ascii="Calibri" w:hAnsi="Calibri" w:cs="Calibri"/>
          <w:sz w:val="30"/>
          <w:szCs w:val="30"/>
        </w:rPr>
        <w:t xml:space="preserve"> </w:t>
      </w:r>
      <w:r w:rsidR="00FA6ED2">
        <w:rPr>
          <w:rFonts w:ascii="Calibri" w:hAnsi="Calibri" w:cs="Calibri"/>
          <w:sz w:val="30"/>
          <w:szCs w:val="30"/>
        </w:rPr>
        <w:t>05</w:t>
      </w:r>
      <w:r w:rsidR="00D37A13" w:rsidRPr="00942851">
        <w:rPr>
          <w:rFonts w:ascii="Calibri" w:hAnsi="Calibri" w:cs="Calibri"/>
          <w:sz w:val="30"/>
          <w:szCs w:val="30"/>
        </w:rPr>
        <w:t>. 2022</w:t>
      </w:r>
    </w:p>
    <w:p w14:paraId="4B0D990E" w14:textId="75133920" w:rsidR="00D37A13" w:rsidRPr="00D37A13" w:rsidRDefault="00D37A13" w:rsidP="00D37A13">
      <w:pPr>
        <w:tabs>
          <w:tab w:val="left" w:pos="8647"/>
        </w:tabs>
        <w:spacing w:after="0"/>
        <w:jc w:val="both"/>
        <w:rPr>
          <w:b/>
          <w:sz w:val="24"/>
          <w:szCs w:val="24"/>
        </w:rPr>
      </w:pPr>
      <w:r w:rsidRPr="00942851">
        <w:rPr>
          <w:b/>
          <w:sz w:val="24"/>
          <w:szCs w:val="24"/>
        </w:rPr>
        <w:t xml:space="preserve">Komerční banka </w:t>
      </w:r>
      <w:r w:rsidR="00A850C9">
        <w:rPr>
          <w:b/>
          <w:sz w:val="24"/>
          <w:szCs w:val="24"/>
        </w:rPr>
        <w:t>a</w:t>
      </w:r>
      <w:r w:rsidRPr="00942851">
        <w:rPr>
          <w:b/>
          <w:sz w:val="24"/>
          <w:szCs w:val="24"/>
        </w:rPr>
        <w:t> </w:t>
      </w:r>
      <w:r w:rsidRPr="00584D2A">
        <w:rPr>
          <w:b/>
          <w:caps/>
          <w:sz w:val="24"/>
          <w:szCs w:val="24"/>
        </w:rPr>
        <w:t>Moneta</w:t>
      </w:r>
      <w:r w:rsidRPr="00942851">
        <w:rPr>
          <w:b/>
          <w:sz w:val="24"/>
          <w:szCs w:val="24"/>
        </w:rPr>
        <w:t xml:space="preserve"> Money Bank </w:t>
      </w:r>
      <w:r w:rsidR="00864187">
        <w:rPr>
          <w:b/>
          <w:sz w:val="24"/>
          <w:szCs w:val="24"/>
        </w:rPr>
        <w:t xml:space="preserve">zahájily </w:t>
      </w:r>
      <w:r w:rsidRPr="00942851">
        <w:rPr>
          <w:b/>
          <w:sz w:val="24"/>
          <w:szCs w:val="24"/>
        </w:rPr>
        <w:t xml:space="preserve">spolupráci na vzájemném sdílení svých bankomatových sítí na území České republiky. </w:t>
      </w:r>
      <w:r w:rsidR="00864187">
        <w:rPr>
          <w:b/>
          <w:sz w:val="24"/>
          <w:szCs w:val="24"/>
        </w:rPr>
        <w:t>Jejím c</w:t>
      </w:r>
      <w:r w:rsidRPr="00942851">
        <w:rPr>
          <w:b/>
          <w:sz w:val="24"/>
          <w:szCs w:val="24"/>
        </w:rPr>
        <w:t xml:space="preserve">ílem je zvýšit dostupnost hotovostních služeb pro klienty obou </w:t>
      </w:r>
      <w:r w:rsidR="00E83A43">
        <w:rPr>
          <w:b/>
          <w:sz w:val="24"/>
          <w:szCs w:val="24"/>
        </w:rPr>
        <w:t>bank</w:t>
      </w:r>
      <w:r w:rsidR="00E83A43" w:rsidRPr="00942851">
        <w:rPr>
          <w:b/>
          <w:sz w:val="24"/>
          <w:szCs w:val="24"/>
        </w:rPr>
        <w:t xml:space="preserve"> </w:t>
      </w:r>
      <w:r w:rsidRPr="00942851">
        <w:rPr>
          <w:b/>
          <w:sz w:val="24"/>
          <w:szCs w:val="24"/>
        </w:rPr>
        <w:t>a současně akcelerovat</w:t>
      </w:r>
      <w:r w:rsidR="00E83A43">
        <w:rPr>
          <w:b/>
          <w:sz w:val="24"/>
          <w:szCs w:val="24"/>
        </w:rPr>
        <w:t xml:space="preserve"> </w:t>
      </w:r>
      <w:r w:rsidRPr="00942851">
        <w:rPr>
          <w:b/>
          <w:sz w:val="24"/>
          <w:szCs w:val="24"/>
        </w:rPr>
        <w:t>aktivity</w:t>
      </w:r>
      <w:r w:rsidR="00E83A43">
        <w:rPr>
          <w:b/>
          <w:sz w:val="24"/>
          <w:szCs w:val="24"/>
        </w:rPr>
        <w:t> v zájmu</w:t>
      </w:r>
      <w:r w:rsidRPr="00D37A13">
        <w:rPr>
          <w:b/>
          <w:sz w:val="24"/>
          <w:szCs w:val="24"/>
        </w:rPr>
        <w:t xml:space="preserve"> udržitelného rozvoje. </w:t>
      </w:r>
    </w:p>
    <w:p w14:paraId="63B57F62" w14:textId="77777777" w:rsidR="00D37A13" w:rsidRDefault="00D37A13" w:rsidP="00D37A13">
      <w:pPr>
        <w:spacing w:after="0"/>
        <w:jc w:val="both"/>
        <w:rPr>
          <w:b/>
          <w:bCs/>
        </w:rPr>
      </w:pPr>
    </w:p>
    <w:p w14:paraId="44E4AF83" w14:textId="0F22DA5A" w:rsidR="00D37A13" w:rsidRPr="00A63DE8" w:rsidRDefault="00244BCF" w:rsidP="00A63DE8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63DE8">
        <w:rPr>
          <w:rFonts w:asciiTheme="minorHAnsi" w:eastAsia="Times New Roman" w:hAnsiTheme="minorHAnsi" w:cstheme="minorHAnsi"/>
        </w:rPr>
        <w:t>Klienti Komerční banky mohou od 1. června 2022 zdarma vybírat hotovost v bankomatové síti M</w:t>
      </w:r>
      <w:r w:rsidR="008D55A2" w:rsidRPr="00A63DE8">
        <w:rPr>
          <w:rFonts w:asciiTheme="minorHAnsi" w:eastAsia="Times New Roman" w:hAnsiTheme="minorHAnsi" w:cstheme="minorHAnsi"/>
        </w:rPr>
        <w:t>ONETA</w:t>
      </w:r>
      <w:r w:rsidRPr="00A63DE8">
        <w:rPr>
          <w:rFonts w:asciiTheme="minorHAnsi" w:eastAsia="Times New Roman" w:hAnsiTheme="minorHAnsi" w:cstheme="minorHAnsi"/>
        </w:rPr>
        <w:t xml:space="preserve"> Money Bank. </w:t>
      </w:r>
      <w:r w:rsidR="00A63DE8" w:rsidRPr="00A63DE8">
        <w:rPr>
          <w:rFonts w:asciiTheme="minorHAnsi" w:eastAsia="Times New Roman" w:hAnsiTheme="minorHAnsi" w:cstheme="minorHAnsi"/>
        </w:rPr>
        <w:t xml:space="preserve">Klienti obou bank získají v průběhu příštího roku možnost sdílet i vkladové funkce v bankomatových sítích Komerční banky i MONETA Money Bank. </w:t>
      </w:r>
      <w:r w:rsidR="008D55A2" w:rsidRPr="00A63DE8">
        <w:rPr>
          <w:rFonts w:asciiTheme="minorHAnsi" w:eastAsia="Times New Roman" w:hAnsiTheme="minorHAnsi" w:cstheme="minorHAnsi"/>
        </w:rPr>
        <w:t>Celý projekt sdílení bankomatů je velmi obsáhlý a zahrnuje vedle okamžitých benefitů pro klienty také využití duplicitních bankomatů v nových lokalitách, kde MONETA ani Komerční banka své hotovostní služby zatím nenabízejí.</w:t>
      </w:r>
      <w:r w:rsidR="00D37A13" w:rsidRPr="00A63DE8">
        <w:rPr>
          <w:rFonts w:asciiTheme="minorHAnsi" w:eastAsia="Times New Roman" w:hAnsiTheme="minorHAnsi" w:cstheme="minorHAnsi"/>
        </w:rPr>
        <w:t xml:space="preserve"> </w:t>
      </w:r>
    </w:p>
    <w:p w14:paraId="142E176C" w14:textId="77777777" w:rsidR="00D37A13" w:rsidRDefault="00D37A13" w:rsidP="00D37A13">
      <w:pPr>
        <w:spacing w:after="0"/>
        <w:ind w:right="-1"/>
        <w:jc w:val="both"/>
      </w:pPr>
    </w:p>
    <w:p w14:paraId="4745541D" w14:textId="64714565" w:rsidR="00D37A13" w:rsidRDefault="00D37A13" w:rsidP="00D37A13">
      <w:pPr>
        <w:spacing w:after="0"/>
        <w:ind w:right="-1"/>
        <w:jc w:val="both"/>
        <w:rPr>
          <w:iCs/>
        </w:rPr>
      </w:pPr>
      <w:r w:rsidRPr="00EE17E0">
        <w:rPr>
          <w:i/>
        </w:rPr>
        <w:t>„</w:t>
      </w:r>
      <w:r>
        <w:rPr>
          <w:i/>
        </w:rPr>
        <w:t xml:space="preserve">Současným trendem v Evropě je optimalizace bankomatových sítí s cílem </w:t>
      </w:r>
      <w:r w:rsidR="008065C5">
        <w:rPr>
          <w:i/>
        </w:rPr>
        <w:t>nabídnout</w:t>
      </w:r>
      <w:r>
        <w:rPr>
          <w:i/>
        </w:rPr>
        <w:t xml:space="preserve"> dostupnost služby maximálnímu počtu klientů. </w:t>
      </w:r>
      <w:r w:rsidR="008065C5">
        <w:rPr>
          <w:i/>
        </w:rPr>
        <w:t>S</w:t>
      </w:r>
      <w:r w:rsidR="00E83FCE">
        <w:rPr>
          <w:i/>
        </w:rPr>
        <w:t>polupráce</w:t>
      </w:r>
      <w:r w:rsidR="008065C5">
        <w:rPr>
          <w:i/>
        </w:rPr>
        <w:t xml:space="preserve"> s Monetou</w:t>
      </w:r>
      <w:r w:rsidR="00E83FCE">
        <w:rPr>
          <w:i/>
        </w:rPr>
        <w:t xml:space="preserve"> nám umožní eliminovat </w:t>
      </w:r>
      <w:r w:rsidRPr="009E7F92">
        <w:rPr>
          <w:i/>
        </w:rPr>
        <w:t>duplicitní</w:t>
      </w:r>
      <w:r w:rsidR="00E83FCE">
        <w:rPr>
          <w:i/>
        </w:rPr>
        <w:t xml:space="preserve"> bankomaty</w:t>
      </w:r>
      <w:r w:rsidR="00517C45">
        <w:rPr>
          <w:i/>
        </w:rPr>
        <w:t xml:space="preserve"> </w:t>
      </w:r>
      <w:r w:rsidR="00E83FCE">
        <w:rPr>
          <w:i/>
        </w:rPr>
        <w:t>na frekventovaných místech</w:t>
      </w:r>
      <w:r w:rsidR="00517C45">
        <w:rPr>
          <w:i/>
        </w:rPr>
        <w:t xml:space="preserve"> a současně instalovat tyto přístroje v lokalitách, kde je dostupnost</w:t>
      </w:r>
      <w:r w:rsidR="008065C5">
        <w:rPr>
          <w:i/>
        </w:rPr>
        <w:t xml:space="preserve"> výběru</w:t>
      </w:r>
      <w:r w:rsidR="00517C45">
        <w:rPr>
          <w:i/>
        </w:rPr>
        <w:t xml:space="preserve"> hotovosti nižší.</w:t>
      </w:r>
      <w:r>
        <w:rPr>
          <w:i/>
        </w:rPr>
        <w:t xml:space="preserve"> V neposlední řadě je takové řešení efektivnějš</w:t>
      </w:r>
      <w:r w:rsidR="00517C45">
        <w:rPr>
          <w:i/>
        </w:rPr>
        <w:t>í a udržitelné</w:t>
      </w:r>
      <w:r>
        <w:rPr>
          <w:i/>
        </w:rPr>
        <w:t xml:space="preserve">, protože dochází k </w:t>
      </w:r>
      <w:r w:rsidRPr="009E7F92">
        <w:rPr>
          <w:i/>
        </w:rPr>
        <w:t xml:space="preserve">nižšímu počtu </w:t>
      </w:r>
      <w:r>
        <w:rPr>
          <w:i/>
        </w:rPr>
        <w:t xml:space="preserve">dotací </w:t>
      </w:r>
      <w:r w:rsidRPr="009E7F92">
        <w:rPr>
          <w:i/>
        </w:rPr>
        <w:t xml:space="preserve">hotovosti, servisních výjezdů </w:t>
      </w:r>
      <w:r>
        <w:rPr>
          <w:i/>
        </w:rPr>
        <w:t>a</w:t>
      </w:r>
      <w:r w:rsidRPr="009E7F92">
        <w:rPr>
          <w:i/>
        </w:rPr>
        <w:t xml:space="preserve"> k nižší spotřebě elektrické energie</w:t>
      </w:r>
      <w:r>
        <w:rPr>
          <w:i/>
        </w:rPr>
        <w:t xml:space="preserve">,“ </w:t>
      </w:r>
      <w:r w:rsidRPr="002C1764">
        <w:rPr>
          <w:iCs/>
        </w:rPr>
        <w:t>uvádí Jan Juchelka, předseda představenstva a generální ředitel K</w:t>
      </w:r>
      <w:r w:rsidR="00727D2A">
        <w:rPr>
          <w:iCs/>
        </w:rPr>
        <w:t>omerční banky</w:t>
      </w:r>
      <w:r w:rsidRPr="002C1764">
        <w:rPr>
          <w:iCs/>
        </w:rPr>
        <w:t>.</w:t>
      </w:r>
    </w:p>
    <w:p w14:paraId="68802C19" w14:textId="1828B751" w:rsidR="00FA6ED2" w:rsidRDefault="00FA6ED2" w:rsidP="00D37A13">
      <w:pPr>
        <w:spacing w:after="0"/>
        <w:ind w:right="-1"/>
        <w:jc w:val="both"/>
        <w:rPr>
          <w:iCs/>
        </w:rPr>
      </w:pPr>
    </w:p>
    <w:p w14:paraId="02D77E3D" w14:textId="45DA6C1C" w:rsidR="00FA6ED2" w:rsidRPr="001A549A" w:rsidRDefault="00FA6ED2" w:rsidP="00FA6ED2">
      <w:pPr>
        <w:spacing w:after="0"/>
        <w:ind w:right="-1"/>
        <w:jc w:val="both"/>
        <w:rPr>
          <w:i/>
        </w:rPr>
      </w:pPr>
      <w:r w:rsidRPr="00262C59">
        <w:rPr>
          <w:i/>
        </w:rPr>
        <w:t>„</w:t>
      </w:r>
      <w:r>
        <w:rPr>
          <w:i/>
        </w:rPr>
        <w:t xml:space="preserve">Podobné realizace vzájemného sdílení bankomatové sítě známe z řady evropských zemí, například z Nizozemska, Belgie nebo Francie, kde tato služba </w:t>
      </w:r>
      <w:r w:rsidR="001A549A">
        <w:rPr>
          <w:i/>
        </w:rPr>
        <w:t xml:space="preserve">již řadu let </w:t>
      </w:r>
      <w:r>
        <w:rPr>
          <w:i/>
        </w:rPr>
        <w:t xml:space="preserve">přináší komfort a nezpochybnitelné benefity. Jsme proto přesvědčeni, že jsme ve spolupráci s Komerční bankou zvolili správnou cestu. V prvním kroku by toto řešení mělo zajistit vyšší dostupnost výběrů hotovosti klientům obou partnerských bank a tím zvýšit uživatelský komfort. V tom druhém pak přinese benefit </w:t>
      </w:r>
      <w:r w:rsidR="001A549A">
        <w:rPr>
          <w:i/>
        </w:rPr>
        <w:t xml:space="preserve">v podobě významného rozšíření sítě </w:t>
      </w:r>
      <w:proofErr w:type="spellStart"/>
      <w:r w:rsidR="001A549A">
        <w:rPr>
          <w:i/>
        </w:rPr>
        <w:t>vkladomatů</w:t>
      </w:r>
      <w:proofErr w:type="spellEnd"/>
      <w:r w:rsidR="001A549A">
        <w:rPr>
          <w:i/>
        </w:rPr>
        <w:t xml:space="preserve">, jenž jako tradiční partner živnostníků a malých firem našim komerčním klientům rádi nabídneme,“ </w:t>
      </w:r>
      <w:r w:rsidR="001A549A" w:rsidRPr="006573ED">
        <w:rPr>
          <w:iCs/>
        </w:rPr>
        <w:t xml:space="preserve">prohlásil předseda představenstva a generální ředitel MONETA Money Bank Tomáš Spurný. </w:t>
      </w:r>
    </w:p>
    <w:p w14:paraId="49B8BA1F" w14:textId="77777777" w:rsidR="00D37A13" w:rsidRDefault="00D37A13" w:rsidP="00D37A13">
      <w:pPr>
        <w:spacing w:after="0"/>
        <w:ind w:right="-1"/>
        <w:jc w:val="both"/>
        <w:rPr>
          <w:iCs/>
        </w:rPr>
      </w:pPr>
    </w:p>
    <w:p w14:paraId="5F9E2D19" w14:textId="26B97409" w:rsidR="000039AB" w:rsidRPr="009F3DE8" w:rsidRDefault="001B15FA" w:rsidP="000039AB">
      <w:pPr>
        <w:spacing w:after="0"/>
        <w:ind w:right="-1"/>
        <w:jc w:val="both"/>
      </w:pPr>
      <w:r>
        <w:t xml:space="preserve">Sdílení vybrané bankovní infrastruktury bude mít velmi pozitivní vliv na klientský zážitek a současně povede ke snížení </w:t>
      </w:r>
      <w:r w:rsidR="000039AB">
        <w:t>spotřeby</w:t>
      </w:r>
      <w:r>
        <w:t xml:space="preserve"> energií i dalších nákladů </w:t>
      </w:r>
      <w:r w:rsidR="000039AB">
        <w:t>nutných k provozování oddělených bankomatových sítí. Realizace tohoto projektu se projeví také ve snížení uhlíkové stopy obou bank.</w:t>
      </w:r>
    </w:p>
    <w:p w14:paraId="11E14CC9" w14:textId="33A54354" w:rsidR="00D37A13" w:rsidRDefault="00D37A13" w:rsidP="00D37A13">
      <w:pPr>
        <w:spacing w:after="0"/>
        <w:ind w:right="-1"/>
        <w:jc w:val="both"/>
      </w:pPr>
      <w:r w:rsidRPr="009F3DE8">
        <w:t xml:space="preserve"> </w:t>
      </w:r>
    </w:p>
    <w:p w14:paraId="176AEEE7" w14:textId="20E12776" w:rsidR="00D412CF" w:rsidRPr="00F1013F" w:rsidRDefault="00D412CF" w:rsidP="00D412CF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1013F">
        <w:rPr>
          <w:rFonts w:asciiTheme="minorHAnsi" w:eastAsia="Times New Roman" w:hAnsiTheme="minorHAnsi" w:cstheme="minorHAnsi"/>
        </w:rPr>
        <w:t>Prostřednictvím svých bankomatů KB realizovala v</w:t>
      </w:r>
      <w:r w:rsidR="008065C5">
        <w:rPr>
          <w:rFonts w:asciiTheme="minorHAnsi" w:eastAsia="Times New Roman" w:hAnsiTheme="minorHAnsi" w:cstheme="minorHAnsi"/>
        </w:rPr>
        <w:t xml:space="preserve"> loňském </w:t>
      </w:r>
      <w:r w:rsidRPr="00F1013F">
        <w:rPr>
          <w:rFonts w:asciiTheme="minorHAnsi" w:eastAsia="Times New Roman" w:hAnsiTheme="minorHAnsi" w:cstheme="minorHAnsi"/>
        </w:rPr>
        <w:t xml:space="preserve">roce 56 % objemu a 93 % </w:t>
      </w:r>
      <w:r w:rsidR="000039AB">
        <w:rPr>
          <w:rFonts w:asciiTheme="minorHAnsi" w:eastAsia="Times New Roman" w:hAnsiTheme="minorHAnsi" w:cstheme="minorHAnsi"/>
        </w:rPr>
        <w:t xml:space="preserve">z celkového </w:t>
      </w:r>
      <w:r w:rsidRPr="00F1013F">
        <w:rPr>
          <w:rFonts w:asciiTheme="minorHAnsi" w:eastAsia="Times New Roman" w:hAnsiTheme="minorHAnsi" w:cstheme="minorHAnsi"/>
        </w:rPr>
        <w:t xml:space="preserve">počtu všech klientských hotovostních operací (výběry + vklady). </w:t>
      </w:r>
      <w:bookmarkStart w:id="0" w:name="_Hlk95993630"/>
      <w:r w:rsidRPr="00F1013F">
        <w:rPr>
          <w:rFonts w:asciiTheme="minorHAnsi" w:eastAsia="Times New Roman" w:hAnsiTheme="minorHAnsi" w:cstheme="minorHAnsi"/>
        </w:rPr>
        <w:t xml:space="preserve">Na konci roku 2021 měla KB </w:t>
      </w:r>
      <w:r w:rsidR="000039AB" w:rsidRPr="00F1013F">
        <w:rPr>
          <w:rFonts w:asciiTheme="minorHAnsi" w:eastAsia="Times New Roman" w:hAnsiTheme="minorHAnsi" w:cstheme="minorHAnsi"/>
        </w:rPr>
        <w:t xml:space="preserve">se svými 860 přístroji </w:t>
      </w:r>
      <w:r w:rsidRPr="00F1013F">
        <w:rPr>
          <w:rFonts w:asciiTheme="minorHAnsi" w:eastAsia="Times New Roman" w:hAnsiTheme="minorHAnsi" w:cstheme="minorHAnsi"/>
        </w:rPr>
        <w:t xml:space="preserve">15% podíl na trhu ČR. </w:t>
      </w:r>
      <w:bookmarkEnd w:id="0"/>
      <w:r w:rsidRPr="00F1013F">
        <w:rPr>
          <w:rFonts w:asciiTheme="minorHAnsi" w:eastAsia="Times New Roman" w:hAnsiTheme="minorHAnsi" w:cstheme="minorHAnsi"/>
        </w:rPr>
        <w:t>Nadále platí, že KB je naprostou jedničkou mezi všemi bankami v počtu vkladových bankomatů</w:t>
      </w:r>
      <w:r w:rsidR="000039AB">
        <w:rPr>
          <w:rFonts w:asciiTheme="minorHAnsi" w:eastAsia="Times New Roman" w:hAnsiTheme="minorHAnsi" w:cstheme="minorHAnsi"/>
        </w:rPr>
        <w:t>.</w:t>
      </w:r>
      <w:r w:rsidRPr="00F1013F">
        <w:rPr>
          <w:rFonts w:asciiTheme="minorHAnsi" w:eastAsia="Times New Roman" w:hAnsiTheme="minorHAnsi" w:cstheme="minorHAnsi"/>
        </w:rPr>
        <w:t xml:space="preserve"> </w:t>
      </w:r>
      <w:r w:rsidR="000039AB">
        <w:rPr>
          <w:rFonts w:asciiTheme="minorHAnsi" w:eastAsia="Times New Roman" w:hAnsiTheme="minorHAnsi" w:cstheme="minorHAnsi"/>
        </w:rPr>
        <w:t>N</w:t>
      </w:r>
      <w:r w:rsidRPr="00F1013F">
        <w:rPr>
          <w:rFonts w:asciiTheme="minorHAnsi" w:eastAsia="Times New Roman" w:hAnsiTheme="minorHAnsi" w:cstheme="minorHAnsi"/>
        </w:rPr>
        <w:t>a konci roku</w:t>
      </w:r>
      <w:r w:rsidR="000039AB">
        <w:rPr>
          <w:rFonts w:asciiTheme="minorHAnsi" w:eastAsia="Times New Roman" w:hAnsiTheme="minorHAnsi" w:cstheme="minorHAnsi"/>
        </w:rPr>
        <w:t xml:space="preserve"> 2021</w:t>
      </w:r>
      <w:r w:rsidRPr="00F1013F">
        <w:rPr>
          <w:rFonts w:asciiTheme="minorHAnsi" w:eastAsia="Times New Roman" w:hAnsiTheme="minorHAnsi" w:cstheme="minorHAnsi"/>
        </w:rPr>
        <w:t xml:space="preserve"> disponovala 502 přístroji a jejich počet i nadále roste</w:t>
      </w:r>
      <w:r w:rsidR="009C1A09">
        <w:rPr>
          <w:rFonts w:asciiTheme="minorHAnsi" w:eastAsia="Times New Roman" w:hAnsiTheme="minorHAnsi" w:cstheme="minorHAnsi"/>
        </w:rPr>
        <w:t>, aktuálně jich už má 520</w:t>
      </w:r>
      <w:r w:rsidRPr="00F1013F">
        <w:rPr>
          <w:rFonts w:asciiTheme="minorHAnsi" w:eastAsia="Times New Roman" w:hAnsiTheme="minorHAnsi" w:cstheme="minorHAnsi"/>
        </w:rPr>
        <w:t>. Bezkontaktní čtečkou je vybaveno 604 přístrojů, a i tento údaj stále roste.</w:t>
      </w:r>
    </w:p>
    <w:p w14:paraId="533ED77A" w14:textId="7238BDF5" w:rsidR="003C6417" w:rsidRDefault="003C6417" w:rsidP="005934B6">
      <w:pPr>
        <w:spacing w:before="200" w:after="0" w:line="260" w:lineRule="exact"/>
        <w:rPr>
          <w:rFonts w:cstheme="minorHAnsi"/>
        </w:rPr>
      </w:pPr>
      <w:r w:rsidRPr="00584D2A">
        <w:rPr>
          <w:rFonts w:cstheme="minorHAnsi"/>
          <w:caps/>
        </w:rPr>
        <w:lastRenderedPageBreak/>
        <w:t>Moneta</w:t>
      </w:r>
      <w:r>
        <w:rPr>
          <w:rFonts w:cstheme="minorHAnsi"/>
        </w:rPr>
        <w:t xml:space="preserve"> Money Bank aktuálně disponuje </w:t>
      </w:r>
      <w:r w:rsidRPr="0039388E">
        <w:rPr>
          <w:rFonts w:cstheme="minorHAnsi"/>
        </w:rPr>
        <w:t xml:space="preserve">počtem </w:t>
      </w:r>
      <w:r w:rsidR="0039388E" w:rsidRPr="0039388E">
        <w:rPr>
          <w:rFonts w:cstheme="minorHAnsi"/>
        </w:rPr>
        <w:t xml:space="preserve">560 </w:t>
      </w:r>
      <w:r w:rsidRPr="0039388E">
        <w:rPr>
          <w:rFonts w:cstheme="minorHAnsi"/>
        </w:rPr>
        <w:t>bankomatů</w:t>
      </w:r>
      <w:r w:rsidR="0039388E" w:rsidRPr="0039388E">
        <w:rPr>
          <w:rFonts w:cstheme="minorHAnsi"/>
        </w:rPr>
        <w:t>,</w:t>
      </w:r>
      <w:r w:rsidRPr="0039388E">
        <w:rPr>
          <w:rFonts w:cstheme="minorHAnsi"/>
        </w:rPr>
        <w:t xml:space="preserve"> z nichž </w:t>
      </w:r>
      <w:r w:rsidR="0039388E" w:rsidRPr="0039388E">
        <w:rPr>
          <w:rFonts w:cstheme="minorHAnsi"/>
        </w:rPr>
        <w:t>186</w:t>
      </w:r>
      <w:r w:rsidR="008533C3">
        <w:rPr>
          <w:rFonts w:cstheme="minorHAnsi"/>
        </w:rPr>
        <w:t xml:space="preserve"> </w:t>
      </w:r>
      <w:r w:rsidRPr="0039388E">
        <w:rPr>
          <w:rFonts w:cstheme="minorHAnsi"/>
        </w:rPr>
        <w:t xml:space="preserve">je vkladových. </w:t>
      </w:r>
      <w:r w:rsidR="002953FE" w:rsidRPr="0039388E">
        <w:rPr>
          <w:rFonts w:cstheme="minorHAnsi"/>
        </w:rPr>
        <w:t xml:space="preserve">Klienti banky mohou </w:t>
      </w:r>
      <w:r w:rsidR="00972281" w:rsidRPr="0039388E">
        <w:rPr>
          <w:rFonts w:cstheme="minorHAnsi"/>
        </w:rPr>
        <w:t xml:space="preserve">v rámci určených tarifů </w:t>
      </w:r>
      <w:r w:rsidR="002953FE" w:rsidRPr="0039388E">
        <w:rPr>
          <w:rFonts w:cstheme="minorHAnsi"/>
        </w:rPr>
        <w:t>vybírat ze všech bankomatů</w:t>
      </w:r>
      <w:r w:rsidR="002953FE">
        <w:rPr>
          <w:rFonts w:cstheme="minorHAnsi"/>
        </w:rPr>
        <w:t xml:space="preserve"> po celém světě zdarma.</w:t>
      </w:r>
    </w:p>
    <w:p w14:paraId="2B81D53F" w14:textId="77777777" w:rsidR="002953FE" w:rsidRDefault="002953FE" w:rsidP="00410FF0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8BF70B4" w14:textId="77777777" w:rsidR="00D37A13" w:rsidRPr="00D5372E" w:rsidRDefault="00D37A13" w:rsidP="00D37A13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35369AE" w14:textId="77777777" w:rsidR="00D37A13" w:rsidRPr="00D5372E" w:rsidRDefault="00D37A13" w:rsidP="00D37A13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420A0C35" w14:textId="77777777" w:rsidR="00D37A13" w:rsidRPr="00D5372E" w:rsidRDefault="00D37A13" w:rsidP="00D37A13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1683187C" w14:textId="77777777" w:rsidR="00D37A13" w:rsidRPr="00D5372E" w:rsidRDefault="00206F2D" w:rsidP="00D37A13">
      <w:pPr>
        <w:spacing w:after="0" w:line="240" w:lineRule="auto"/>
        <w:rPr>
          <w:rFonts w:cstheme="minorHAnsi"/>
          <w:color w:val="FF0000"/>
          <w:u w:val="single"/>
        </w:rPr>
      </w:pPr>
      <w:hyperlink r:id="rId6" w:history="1">
        <w:r w:rsidR="00D37A13" w:rsidRPr="00D5372E">
          <w:rPr>
            <w:rStyle w:val="Hypertextovodkaz"/>
            <w:rFonts w:cstheme="minorHAnsi"/>
          </w:rPr>
          <w:t>pavel_zubek@kb.cz</w:t>
        </w:r>
      </w:hyperlink>
    </w:p>
    <w:p w14:paraId="4756DA75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6A0796F7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1C314475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4BF4" w14:textId="77777777" w:rsidR="00BD7B50" w:rsidRDefault="00BD7B50" w:rsidP="00A84CE4">
      <w:pPr>
        <w:spacing w:after="0" w:line="240" w:lineRule="auto"/>
      </w:pPr>
      <w:r>
        <w:separator/>
      </w:r>
    </w:p>
  </w:endnote>
  <w:endnote w:type="continuationSeparator" w:id="0">
    <w:p w14:paraId="2FF0548B" w14:textId="77777777" w:rsidR="00BD7B50" w:rsidRDefault="00BD7B50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3146" w14:textId="77777777" w:rsidR="00E83FCE" w:rsidRPr="00C316F8" w:rsidRDefault="00E83FCE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9CC668" wp14:editId="21744F3C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820C7" w14:textId="77777777" w:rsidR="00E83FCE" w:rsidRPr="00AE3F5C" w:rsidRDefault="00E83FCE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CC6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B6820C7" w14:textId="77777777" w:rsidR="00E83FCE" w:rsidRPr="00AE3F5C" w:rsidRDefault="00E83FCE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108745" wp14:editId="432206B5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A21FEA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224C" w14:textId="77777777" w:rsidR="00BD7B50" w:rsidRDefault="00BD7B50" w:rsidP="00A84CE4">
      <w:pPr>
        <w:spacing w:after="0" w:line="240" w:lineRule="auto"/>
      </w:pPr>
      <w:r>
        <w:separator/>
      </w:r>
    </w:p>
  </w:footnote>
  <w:footnote w:type="continuationSeparator" w:id="0">
    <w:p w14:paraId="2ABEAF9F" w14:textId="77777777" w:rsidR="00BD7B50" w:rsidRDefault="00BD7B50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087E" w14:textId="2E748C84" w:rsidR="00E83FCE" w:rsidRDefault="00416452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E54379" wp14:editId="274DD25F">
          <wp:simplePos x="0" y="0"/>
          <wp:positionH relativeFrom="column">
            <wp:posOffset>1443990</wp:posOffset>
          </wp:positionH>
          <wp:positionV relativeFrom="paragraph">
            <wp:posOffset>-235585</wp:posOffset>
          </wp:positionV>
          <wp:extent cx="2356485" cy="806450"/>
          <wp:effectExtent l="0" t="0" r="5715" b="0"/>
          <wp:wrapTight wrapText="bothSides">
            <wp:wrapPolygon edited="0">
              <wp:start x="0" y="0"/>
              <wp:lineTo x="0" y="20920"/>
              <wp:lineTo x="21478" y="20920"/>
              <wp:lineTo x="2147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FCE">
      <w:rPr>
        <w:noProof/>
      </w:rPr>
      <w:drawing>
        <wp:anchor distT="0" distB="0" distL="114300" distR="114300" simplePos="0" relativeHeight="251658240" behindDoc="1" locked="0" layoutInCell="1" allowOverlap="1" wp14:anchorId="1E9284CC" wp14:editId="75FD37C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FCE">
      <w:rPr>
        <w:noProof/>
      </w:rPr>
      <w:drawing>
        <wp:inline distT="0" distB="0" distL="0" distR="0" wp14:anchorId="0E520445" wp14:editId="7B7A946B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FCE">
      <w:t xml:space="preserve">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13"/>
    <w:rsid w:val="000039AB"/>
    <w:rsid w:val="000445D2"/>
    <w:rsid w:val="0011707C"/>
    <w:rsid w:val="001222BC"/>
    <w:rsid w:val="001A549A"/>
    <w:rsid w:val="001B15FA"/>
    <w:rsid w:val="00206F2D"/>
    <w:rsid w:val="00244BCF"/>
    <w:rsid w:val="00283870"/>
    <w:rsid w:val="00283C19"/>
    <w:rsid w:val="002953FE"/>
    <w:rsid w:val="002E71F1"/>
    <w:rsid w:val="0039388E"/>
    <w:rsid w:val="003C6417"/>
    <w:rsid w:val="00410FF0"/>
    <w:rsid w:val="00416452"/>
    <w:rsid w:val="00422452"/>
    <w:rsid w:val="00464800"/>
    <w:rsid w:val="004E520C"/>
    <w:rsid w:val="00506E77"/>
    <w:rsid w:val="005162EF"/>
    <w:rsid w:val="00517C45"/>
    <w:rsid w:val="00543B25"/>
    <w:rsid w:val="005736A4"/>
    <w:rsid w:val="00584D2A"/>
    <w:rsid w:val="0059061F"/>
    <w:rsid w:val="005934B6"/>
    <w:rsid w:val="005A246C"/>
    <w:rsid w:val="005B47EE"/>
    <w:rsid w:val="005F4AE0"/>
    <w:rsid w:val="00633C61"/>
    <w:rsid w:val="006573ED"/>
    <w:rsid w:val="006D2015"/>
    <w:rsid w:val="00707F39"/>
    <w:rsid w:val="00727D2A"/>
    <w:rsid w:val="00766C5E"/>
    <w:rsid w:val="007F29C0"/>
    <w:rsid w:val="008065C5"/>
    <w:rsid w:val="008358AF"/>
    <w:rsid w:val="008500FF"/>
    <w:rsid w:val="008533C3"/>
    <w:rsid w:val="00855CD1"/>
    <w:rsid w:val="00864187"/>
    <w:rsid w:val="00895A4F"/>
    <w:rsid w:val="008A41B6"/>
    <w:rsid w:val="008B7C3F"/>
    <w:rsid w:val="008D55A2"/>
    <w:rsid w:val="009147E0"/>
    <w:rsid w:val="00942851"/>
    <w:rsid w:val="00972281"/>
    <w:rsid w:val="009A7B0F"/>
    <w:rsid w:val="009C1A09"/>
    <w:rsid w:val="00A0503E"/>
    <w:rsid w:val="00A62B70"/>
    <w:rsid w:val="00A63DE8"/>
    <w:rsid w:val="00A84CE4"/>
    <w:rsid w:val="00A850C9"/>
    <w:rsid w:val="00A876CF"/>
    <w:rsid w:val="00AE3F5C"/>
    <w:rsid w:val="00B91D2D"/>
    <w:rsid w:val="00BD7B50"/>
    <w:rsid w:val="00C316F8"/>
    <w:rsid w:val="00CA0C21"/>
    <w:rsid w:val="00CD2E15"/>
    <w:rsid w:val="00CF1FE2"/>
    <w:rsid w:val="00D37A13"/>
    <w:rsid w:val="00D412CF"/>
    <w:rsid w:val="00D46511"/>
    <w:rsid w:val="00D763CE"/>
    <w:rsid w:val="00DE569D"/>
    <w:rsid w:val="00E051CC"/>
    <w:rsid w:val="00E273DF"/>
    <w:rsid w:val="00E33A39"/>
    <w:rsid w:val="00E7672E"/>
    <w:rsid w:val="00E83835"/>
    <w:rsid w:val="00E83A43"/>
    <w:rsid w:val="00E83FCE"/>
    <w:rsid w:val="00EA0D08"/>
    <w:rsid w:val="00F43E95"/>
    <w:rsid w:val="00F6736D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E3B49"/>
  <w15:chartTrackingRefBased/>
  <w15:docId w15:val="{9808FC5C-BB65-4438-B0A3-E1973F16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37A13"/>
    <w:pPr>
      <w:keepNext/>
      <w:pBdr>
        <w:left w:val="single" w:sz="24" w:space="14" w:color="CC0033"/>
      </w:pBdr>
      <w:spacing w:after="0" w:line="456" w:lineRule="atLeast"/>
      <w:outlineLvl w:val="0"/>
    </w:pPr>
    <w:rPr>
      <w:rFonts w:ascii="Arial" w:eastAsia="Times New Roman" w:hAnsi="Arial" w:cs="Arial"/>
      <w:caps/>
      <w:color w:val="CC0033"/>
      <w:kern w:val="32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D37A13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Prosttext">
    <w:name w:val="Plain Text"/>
    <w:basedOn w:val="Normln"/>
    <w:link w:val="ProsttextChar"/>
    <w:uiPriority w:val="99"/>
    <w:unhideWhenUsed/>
    <w:rsid w:val="00410FF0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410FF0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E83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A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A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A4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6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3.png"/><Relationship Id="rId3" Type="http://schemas.openxmlformats.org/officeDocument/2006/relationships/image" Target="media/image7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3.svg"/><Relationship Id="rId2" Type="http://schemas.openxmlformats.org/officeDocument/2006/relationships/image" Target="media/image6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9.svg"/><Relationship Id="rId11" Type="http://schemas.openxmlformats.org/officeDocument/2006/relationships/image" Target="media/image12.png"/><Relationship Id="rId5" Type="http://schemas.openxmlformats.org/officeDocument/2006/relationships/image" Target="media/image8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1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4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4</cp:revision>
  <dcterms:created xsi:type="dcterms:W3CDTF">2022-05-26T14:19:00Z</dcterms:created>
  <dcterms:modified xsi:type="dcterms:W3CDTF">2022-05-30T05:32:00Z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2022-05-30T05:32:03Z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c778b21e-80e8-4830-b91a-fc0bbc4274a6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