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50E" w14:textId="299247D2" w:rsidR="00E83835" w:rsidRPr="009A7936" w:rsidRDefault="00090F57" w:rsidP="00E83835">
      <w:pPr>
        <w:spacing w:after="0" w:line="580" w:lineRule="exact"/>
        <w:rPr>
          <w:rFonts w:ascii="Calibri" w:hAnsi="Calibri" w:cs="Calibri"/>
          <w:b/>
          <w:bCs/>
          <w:caps/>
          <w:color w:val="E9041E"/>
          <w:sz w:val="50"/>
          <w:szCs w:val="50"/>
        </w:rPr>
      </w:pPr>
      <w:r>
        <w:rPr>
          <w:rFonts w:ascii="Calibri" w:hAnsi="Calibri" w:cs="Calibri"/>
          <w:b/>
          <w:bCs/>
          <w:color w:val="E9041E"/>
          <w:sz w:val="50"/>
          <w:szCs w:val="50"/>
        </w:rPr>
        <w:t xml:space="preserve">Komerční banka a Mastercard </w:t>
      </w:r>
      <w:r w:rsidR="00242431">
        <w:rPr>
          <w:rFonts w:ascii="Calibri" w:hAnsi="Calibri" w:cs="Calibri"/>
          <w:b/>
          <w:bCs/>
          <w:color w:val="E9041E"/>
          <w:sz w:val="50"/>
          <w:szCs w:val="50"/>
        </w:rPr>
        <w:t xml:space="preserve">představují další </w:t>
      </w:r>
      <w:r w:rsidR="00C01DD7">
        <w:rPr>
          <w:rFonts w:ascii="Calibri" w:hAnsi="Calibri" w:cs="Calibri"/>
          <w:b/>
          <w:bCs/>
          <w:color w:val="E9041E"/>
          <w:sz w:val="50"/>
          <w:szCs w:val="50"/>
        </w:rPr>
        <w:t>exkluzivní designy</w:t>
      </w:r>
      <w:r w:rsidR="00242431">
        <w:rPr>
          <w:rFonts w:ascii="Calibri" w:hAnsi="Calibri" w:cs="Calibri"/>
          <w:b/>
          <w:bCs/>
          <w:color w:val="E9041E"/>
          <w:sz w:val="50"/>
          <w:szCs w:val="50"/>
        </w:rPr>
        <w:t xml:space="preserve"> </w:t>
      </w:r>
      <w:r w:rsidR="00504BBA">
        <w:rPr>
          <w:rFonts w:ascii="Calibri" w:hAnsi="Calibri" w:cs="Calibri"/>
          <w:b/>
          <w:bCs/>
          <w:color w:val="E9041E"/>
          <w:sz w:val="50"/>
          <w:szCs w:val="50"/>
        </w:rPr>
        <w:t>platební</w:t>
      </w:r>
      <w:r w:rsidR="00B8060D">
        <w:rPr>
          <w:rFonts w:ascii="Calibri" w:hAnsi="Calibri" w:cs="Calibri"/>
          <w:b/>
          <w:bCs/>
          <w:color w:val="E9041E"/>
          <w:sz w:val="50"/>
          <w:szCs w:val="50"/>
        </w:rPr>
        <w:t>ch</w:t>
      </w:r>
      <w:r w:rsidR="00504BBA">
        <w:rPr>
          <w:rFonts w:ascii="Calibri" w:hAnsi="Calibri" w:cs="Calibri"/>
          <w:b/>
          <w:bCs/>
          <w:color w:val="E9041E"/>
          <w:sz w:val="50"/>
          <w:szCs w:val="50"/>
        </w:rPr>
        <w:t xml:space="preserve"> </w:t>
      </w:r>
      <w:r w:rsidR="00E60D5C" w:rsidRPr="009A7936">
        <w:rPr>
          <w:rFonts w:ascii="Calibri" w:hAnsi="Calibri" w:cs="Calibri"/>
          <w:b/>
          <w:bCs/>
          <w:color w:val="E9041E"/>
          <w:sz w:val="50"/>
          <w:szCs w:val="50"/>
        </w:rPr>
        <w:t>kar</w:t>
      </w:r>
      <w:r w:rsidR="00B8060D">
        <w:rPr>
          <w:rFonts w:ascii="Calibri" w:hAnsi="Calibri" w:cs="Calibri"/>
          <w:b/>
          <w:bCs/>
          <w:color w:val="E9041E"/>
          <w:sz w:val="50"/>
          <w:szCs w:val="50"/>
        </w:rPr>
        <w:t xml:space="preserve">et </w:t>
      </w:r>
      <w:r w:rsidR="00AB5225">
        <w:rPr>
          <w:rFonts w:ascii="Calibri" w:hAnsi="Calibri" w:cs="Calibri"/>
          <w:b/>
          <w:bCs/>
          <w:color w:val="E9041E"/>
          <w:sz w:val="50"/>
          <w:szCs w:val="50"/>
        </w:rPr>
        <w:t>s </w:t>
      </w:r>
      <w:r w:rsidR="00C01DD7">
        <w:rPr>
          <w:rFonts w:ascii="Calibri" w:hAnsi="Calibri" w:cs="Calibri"/>
          <w:b/>
          <w:bCs/>
          <w:color w:val="E9041E"/>
          <w:sz w:val="50"/>
          <w:szCs w:val="50"/>
        </w:rPr>
        <w:t xml:space="preserve">tématem </w:t>
      </w:r>
      <w:r w:rsidR="00E60D5C" w:rsidRPr="009A7936">
        <w:rPr>
          <w:rFonts w:ascii="Calibri" w:hAnsi="Calibri" w:cs="Calibri"/>
          <w:b/>
          <w:bCs/>
          <w:color w:val="E9041E"/>
          <w:sz w:val="50"/>
          <w:szCs w:val="50"/>
        </w:rPr>
        <w:t>League of Legends</w:t>
      </w:r>
      <w:r w:rsidR="00AB5225">
        <w:rPr>
          <w:rFonts w:ascii="Calibri" w:hAnsi="Calibri" w:cs="Calibri"/>
          <w:b/>
          <w:bCs/>
          <w:color w:val="E9041E"/>
          <w:sz w:val="50"/>
          <w:szCs w:val="50"/>
        </w:rPr>
        <w:t xml:space="preserve"> Esport</w:t>
      </w:r>
    </w:p>
    <w:p w14:paraId="0F4EFECC" w14:textId="3511EA62" w:rsidR="00283C19" w:rsidRPr="009A7936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9A7936">
        <w:rPr>
          <w:rFonts w:ascii="Calibri" w:hAnsi="Calibri" w:cs="Calibri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8A1EB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9A7936">
        <w:rPr>
          <w:rFonts w:ascii="Calibri" w:hAnsi="Calibri" w:cs="Calibri"/>
          <w:sz w:val="30"/>
          <w:szCs w:val="30"/>
        </w:rPr>
        <w:t>Praha</w:t>
      </w:r>
      <w:r w:rsidR="005A7D39">
        <w:rPr>
          <w:rFonts w:ascii="Calibri" w:hAnsi="Calibri" w:cs="Calibri"/>
          <w:sz w:val="30"/>
          <w:szCs w:val="30"/>
        </w:rPr>
        <w:t>,</w:t>
      </w:r>
      <w:r w:rsidRPr="009A7936">
        <w:rPr>
          <w:rFonts w:ascii="Calibri" w:hAnsi="Calibri" w:cs="Calibri"/>
          <w:sz w:val="30"/>
          <w:szCs w:val="30"/>
        </w:rPr>
        <w:t xml:space="preserve"> </w:t>
      </w:r>
      <w:r w:rsidR="005A7D39">
        <w:rPr>
          <w:rFonts w:ascii="Calibri" w:hAnsi="Calibri" w:cs="Calibri"/>
          <w:sz w:val="30"/>
          <w:szCs w:val="30"/>
        </w:rPr>
        <w:t>5</w:t>
      </w:r>
      <w:r w:rsidRPr="009A7936">
        <w:rPr>
          <w:rFonts w:ascii="Calibri" w:hAnsi="Calibri" w:cs="Calibri"/>
          <w:sz w:val="30"/>
          <w:szCs w:val="30"/>
        </w:rPr>
        <w:t>.</w:t>
      </w:r>
      <w:r w:rsidR="00E60D5C" w:rsidRPr="009A7936">
        <w:rPr>
          <w:rFonts w:ascii="Calibri" w:hAnsi="Calibri" w:cs="Calibri"/>
          <w:sz w:val="30"/>
          <w:szCs w:val="30"/>
        </w:rPr>
        <w:t xml:space="preserve"> </w:t>
      </w:r>
      <w:r w:rsidR="005A7D39">
        <w:rPr>
          <w:rFonts w:ascii="Calibri" w:hAnsi="Calibri" w:cs="Calibri"/>
          <w:sz w:val="30"/>
          <w:szCs w:val="30"/>
        </w:rPr>
        <w:t>května</w:t>
      </w:r>
      <w:r w:rsidR="00E60D5C" w:rsidRPr="009A7936">
        <w:rPr>
          <w:rFonts w:ascii="Calibri" w:hAnsi="Calibri" w:cs="Calibri"/>
          <w:sz w:val="30"/>
          <w:szCs w:val="30"/>
        </w:rPr>
        <w:t xml:space="preserve"> 202</w:t>
      </w:r>
      <w:r w:rsidR="00B97E93">
        <w:rPr>
          <w:rFonts w:ascii="Calibri" w:hAnsi="Calibri" w:cs="Calibri"/>
          <w:sz w:val="30"/>
          <w:szCs w:val="30"/>
        </w:rPr>
        <w:t>2</w:t>
      </w:r>
    </w:p>
    <w:p w14:paraId="295BFF0B" w14:textId="2B5062A8" w:rsidR="00B97E93" w:rsidRPr="003049E7" w:rsidRDefault="00E60D5C" w:rsidP="00B97E93">
      <w:pPr>
        <w:jc w:val="both"/>
        <w:rPr>
          <w:b/>
          <w:bCs/>
        </w:rPr>
      </w:pPr>
      <w:r w:rsidRPr="003049E7">
        <w:rPr>
          <w:rFonts w:ascii="Calibri" w:hAnsi="Calibri" w:cs="Calibri"/>
          <w:b/>
          <w:bCs/>
        </w:rPr>
        <w:t xml:space="preserve">Komerční banka ve spolupráci se společností Mastercard </w:t>
      </w:r>
      <w:r w:rsidR="00BC4441" w:rsidRPr="003049E7">
        <w:rPr>
          <w:rFonts w:ascii="Calibri" w:hAnsi="Calibri" w:cs="Calibri"/>
          <w:b/>
          <w:bCs/>
        </w:rPr>
        <w:t xml:space="preserve">připravila pro fanoušky </w:t>
      </w:r>
      <w:proofErr w:type="spellStart"/>
      <w:r w:rsidR="00BC4441" w:rsidRPr="003049E7">
        <w:rPr>
          <w:rFonts w:ascii="Calibri" w:hAnsi="Calibri" w:cs="Calibri"/>
          <w:b/>
          <w:bCs/>
        </w:rPr>
        <w:t>League</w:t>
      </w:r>
      <w:proofErr w:type="spellEnd"/>
      <w:r w:rsidR="00BC4441" w:rsidRPr="003049E7">
        <w:rPr>
          <w:rFonts w:ascii="Calibri" w:hAnsi="Calibri" w:cs="Calibri"/>
          <w:b/>
          <w:bCs/>
        </w:rPr>
        <w:t xml:space="preserve"> </w:t>
      </w:r>
      <w:proofErr w:type="spellStart"/>
      <w:r w:rsidR="00BC4441" w:rsidRPr="003049E7">
        <w:rPr>
          <w:rFonts w:ascii="Calibri" w:hAnsi="Calibri" w:cs="Calibri"/>
          <w:b/>
          <w:bCs/>
        </w:rPr>
        <w:t>of</w:t>
      </w:r>
      <w:proofErr w:type="spellEnd"/>
      <w:r w:rsidR="00BC4441" w:rsidRPr="003049E7">
        <w:rPr>
          <w:rFonts w:ascii="Calibri" w:hAnsi="Calibri" w:cs="Calibri"/>
          <w:b/>
          <w:bCs/>
        </w:rPr>
        <w:t xml:space="preserve"> </w:t>
      </w:r>
      <w:proofErr w:type="spellStart"/>
      <w:r w:rsidR="00BC4441" w:rsidRPr="003049E7">
        <w:rPr>
          <w:rFonts w:ascii="Calibri" w:hAnsi="Calibri" w:cs="Calibri"/>
          <w:b/>
          <w:bCs/>
        </w:rPr>
        <w:t>Legends</w:t>
      </w:r>
      <w:proofErr w:type="spellEnd"/>
      <w:r w:rsidR="00BC4441" w:rsidRPr="003049E7">
        <w:rPr>
          <w:rFonts w:ascii="Calibri" w:hAnsi="Calibri" w:cs="Calibri"/>
          <w:b/>
          <w:bCs/>
        </w:rPr>
        <w:t xml:space="preserve"> </w:t>
      </w:r>
      <w:r w:rsidR="00C01DD7" w:rsidRPr="003049E7">
        <w:rPr>
          <w:rFonts w:ascii="Calibri" w:hAnsi="Calibri" w:cs="Calibri"/>
          <w:b/>
          <w:bCs/>
        </w:rPr>
        <w:t xml:space="preserve">čtyři </w:t>
      </w:r>
      <w:r w:rsidR="00CE21F4">
        <w:rPr>
          <w:rFonts w:ascii="Calibri" w:hAnsi="Calibri" w:cs="Calibri"/>
          <w:b/>
          <w:bCs/>
        </w:rPr>
        <w:t xml:space="preserve">nové </w:t>
      </w:r>
      <w:r w:rsidR="00C01DD7" w:rsidRPr="003049E7">
        <w:rPr>
          <w:rFonts w:ascii="Calibri" w:hAnsi="Calibri" w:cs="Calibri"/>
          <w:b/>
          <w:bCs/>
        </w:rPr>
        <w:t>exkluzivní designy</w:t>
      </w:r>
      <w:r w:rsidR="00BC4441" w:rsidRPr="003049E7">
        <w:rPr>
          <w:rFonts w:ascii="Calibri" w:hAnsi="Calibri" w:cs="Calibri"/>
          <w:b/>
          <w:bCs/>
        </w:rPr>
        <w:t xml:space="preserve"> </w:t>
      </w:r>
      <w:r w:rsidR="0094078F" w:rsidRPr="003049E7">
        <w:rPr>
          <w:rFonts w:ascii="Calibri" w:hAnsi="Calibri" w:cs="Calibri"/>
          <w:b/>
          <w:bCs/>
        </w:rPr>
        <w:t xml:space="preserve">platebních </w:t>
      </w:r>
      <w:r w:rsidR="00BC4441" w:rsidRPr="003049E7">
        <w:rPr>
          <w:rFonts w:ascii="Calibri" w:hAnsi="Calibri" w:cs="Calibri"/>
          <w:b/>
          <w:bCs/>
        </w:rPr>
        <w:t xml:space="preserve">karet. </w:t>
      </w:r>
      <w:r w:rsidR="00B97E93" w:rsidRPr="003049E7">
        <w:rPr>
          <w:rFonts w:ascii="Calibri" w:hAnsi="Calibri" w:cs="Calibri"/>
          <w:b/>
          <w:bCs/>
        </w:rPr>
        <w:t xml:space="preserve">Jejich držitelé kromě unikátního sběratelského kusu </w:t>
      </w:r>
      <w:r w:rsidR="00B97E93" w:rsidRPr="003049E7">
        <w:rPr>
          <w:b/>
          <w:bCs/>
        </w:rPr>
        <w:t xml:space="preserve">získají slevu 30 procent na vstupenku další jedinečné události, historicky největšího turnaje v LoL, který se uskuteční v červnu v pražské </w:t>
      </w:r>
      <w:r w:rsidR="008576C7" w:rsidRPr="003049E7">
        <w:rPr>
          <w:b/>
          <w:bCs/>
        </w:rPr>
        <w:t xml:space="preserve">O2 </w:t>
      </w:r>
      <w:r w:rsidR="00C01DD7" w:rsidRPr="003049E7">
        <w:rPr>
          <w:b/>
          <w:bCs/>
        </w:rPr>
        <w:t xml:space="preserve">Universum </w:t>
      </w:r>
      <w:r w:rsidR="008576C7" w:rsidRPr="003049E7">
        <w:rPr>
          <w:b/>
          <w:bCs/>
        </w:rPr>
        <w:t>aréně.</w:t>
      </w:r>
      <w:r w:rsidR="00B97E93" w:rsidRPr="003049E7">
        <w:rPr>
          <w:b/>
          <w:bCs/>
        </w:rPr>
        <w:t xml:space="preserve">  </w:t>
      </w:r>
    </w:p>
    <w:p w14:paraId="3917692A" w14:textId="47660B85" w:rsidR="00B97E93" w:rsidRPr="003049E7" w:rsidRDefault="00B97E93" w:rsidP="00B97E93">
      <w:pPr>
        <w:spacing w:after="0" w:line="240" w:lineRule="auto"/>
        <w:jc w:val="both"/>
        <w:rPr>
          <w:rFonts w:ascii="Calibri" w:hAnsi="Calibri" w:cs="Calibri"/>
        </w:rPr>
      </w:pPr>
      <w:r w:rsidRPr="003049E7">
        <w:rPr>
          <w:rFonts w:ascii="Calibri" w:hAnsi="Calibri" w:cs="Calibri"/>
          <w:i/>
          <w:iCs/>
        </w:rPr>
        <w:t>„</w:t>
      </w:r>
      <w:r w:rsidR="00C01DD7" w:rsidRPr="003049E7">
        <w:rPr>
          <w:rFonts w:ascii="Calibri" w:hAnsi="Calibri" w:cs="Calibri"/>
          <w:i/>
          <w:iCs/>
        </w:rPr>
        <w:t>J</w:t>
      </w:r>
      <w:r w:rsidR="0094078F" w:rsidRPr="003049E7">
        <w:rPr>
          <w:rFonts w:ascii="Calibri" w:hAnsi="Calibri" w:cs="Calibri"/>
          <w:i/>
          <w:iCs/>
        </w:rPr>
        <w:t>sme si</w:t>
      </w:r>
      <w:r w:rsidRPr="003049E7">
        <w:rPr>
          <w:rFonts w:ascii="Calibri" w:hAnsi="Calibri" w:cs="Calibri"/>
          <w:i/>
          <w:iCs/>
        </w:rPr>
        <w:t xml:space="preserve"> vědomi rostoucí </w:t>
      </w:r>
      <w:r w:rsidR="00C01DD7" w:rsidRPr="003049E7">
        <w:rPr>
          <w:rFonts w:ascii="Calibri" w:hAnsi="Calibri" w:cs="Calibri"/>
          <w:i/>
          <w:iCs/>
        </w:rPr>
        <w:t xml:space="preserve">popularity </w:t>
      </w:r>
      <w:r w:rsidRPr="003049E7">
        <w:rPr>
          <w:rFonts w:ascii="Calibri" w:hAnsi="Calibri" w:cs="Calibri"/>
          <w:i/>
          <w:iCs/>
        </w:rPr>
        <w:t>esport</w:t>
      </w:r>
      <w:r w:rsidR="00C01DD7" w:rsidRPr="003049E7">
        <w:rPr>
          <w:rFonts w:ascii="Calibri" w:hAnsi="Calibri" w:cs="Calibri"/>
          <w:i/>
          <w:iCs/>
        </w:rPr>
        <w:t>u</w:t>
      </w:r>
      <w:r w:rsidRPr="003049E7">
        <w:rPr>
          <w:rFonts w:ascii="Calibri" w:hAnsi="Calibri" w:cs="Calibri"/>
          <w:i/>
          <w:iCs/>
        </w:rPr>
        <w:t xml:space="preserve"> v České republice. </w:t>
      </w:r>
      <w:r w:rsidR="0094078F" w:rsidRPr="003049E7">
        <w:rPr>
          <w:rFonts w:ascii="Calibri" w:hAnsi="Calibri" w:cs="Calibri"/>
          <w:i/>
          <w:iCs/>
        </w:rPr>
        <w:t>Zájem o</w:t>
      </w:r>
      <w:r w:rsidR="00BC4441" w:rsidRPr="003049E7">
        <w:rPr>
          <w:rFonts w:ascii="Calibri" w:hAnsi="Calibri" w:cs="Calibri"/>
          <w:i/>
          <w:iCs/>
        </w:rPr>
        <w:t xml:space="preserve"> </w:t>
      </w:r>
      <w:r w:rsidR="00C01DD7" w:rsidRPr="003049E7">
        <w:rPr>
          <w:rFonts w:ascii="Calibri" w:hAnsi="Calibri" w:cs="Calibri"/>
          <w:i/>
          <w:iCs/>
        </w:rPr>
        <w:t>loňské designy pěti šampionů</w:t>
      </w:r>
      <w:r w:rsidRPr="003049E7">
        <w:rPr>
          <w:rFonts w:ascii="Calibri" w:hAnsi="Calibri" w:cs="Calibri"/>
          <w:i/>
          <w:iCs/>
        </w:rPr>
        <w:t xml:space="preserve"> přesto </w:t>
      </w:r>
      <w:r w:rsidR="00BC4441" w:rsidRPr="003049E7">
        <w:rPr>
          <w:rFonts w:ascii="Calibri" w:hAnsi="Calibri" w:cs="Calibri"/>
          <w:i/>
          <w:iCs/>
        </w:rPr>
        <w:t xml:space="preserve">překonal všechna </w:t>
      </w:r>
      <w:r w:rsidRPr="003049E7">
        <w:rPr>
          <w:rFonts w:ascii="Calibri" w:hAnsi="Calibri" w:cs="Calibri"/>
          <w:i/>
          <w:iCs/>
        </w:rPr>
        <w:t xml:space="preserve">naše </w:t>
      </w:r>
      <w:r w:rsidR="00BC4441" w:rsidRPr="003049E7">
        <w:rPr>
          <w:rFonts w:ascii="Calibri" w:hAnsi="Calibri" w:cs="Calibri"/>
          <w:i/>
          <w:iCs/>
        </w:rPr>
        <w:t>očekávání.</w:t>
      </w:r>
      <w:r w:rsidRPr="003049E7">
        <w:rPr>
          <w:rFonts w:ascii="Calibri" w:hAnsi="Calibri" w:cs="Calibri"/>
          <w:i/>
          <w:iCs/>
        </w:rPr>
        <w:t xml:space="preserve"> Velice nás proto těší, že můžeme</w:t>
      </w:r>
      <w:r w:rsidR="0094078F" w:rsidRPr="003049E7">
        <w:rPr>
          <w:rFonts w:ascii="Calibri" w:hAnsi="Calibri" w:cs="Calibri"/>
          <w:i/>
          <w:iCs/>
        </w:rPr>
        <w:t xml:space="preserve"> na tento mimořádný úspěch navázat a</w:t>
      </w:r>
      <w:r w:rsidRPr="003049E7">
        <w:rPr>
          <w:rFonts w:ascii="Calibri" w:hAnsi="Calibri" w:cs="Calibri"/>
          <w:i/>
          <w:iCs/>
        </w:rPr>
        <w:t xml:space="preserve"> všem fanouškům League of Legends nabídnout další </w:t>
      </w:r>
      <w:r w:rsidR="00C01DD7" w:rsidRPr="003049E7">
        <w:rPr>
          <w:rFonts w:ascii="Calibri" w:hAnsi="Calibri" w:cs="Calibri"/>
          <w:i/>
          <w:iCs/>
        </w:rPr>
        <w:t>exkluzivní designy a benefity</w:t>
      </w:r>
      <w:r w:rsidR="00A237A3" w:rsidRPr="003049E7">
        <w:rPr>
          <w:rFonts w:ascii="Calibri" w:hAnsi="Calibri" w:cs="Calibri"/>
          <w:i/>
          <w:iCs/>
        </w:rPr>
        <w:t>,“</w:t>
      </w:r>
      <w:r w:rsidR="00A237A3" w:rsidRPr="003049E7">
        <w:rPr>
          <w:rFonts w:ascii="Calibri" w:hAnsi="Calibri" w:cs="Calibri"/>
        </w:rPr>
        <w:t xml:space="preserve"> </w:t>
      </w:r>
      <w:bookmarkStart w:id="0" w:name="_Hlk102374472"/>
      <w:r w:rsidR="00A237A3" w:rsidRPr="003049E7">
        <w:rPr>
          <w:rFonts w:ascii="Calibri" w:hAnsi="Calibri" w:cs="Calibri"/>
        </w:rPr>
        <w:t xml:space="preserve">říká </w:t>
      </w:r>
      <w:r w:rsidR="00FC7CA7" w:rsidRPr="003049E7">
        <w:rPr>
          <w:rFonts w:ascii="Calibri" w:hAnsi="Calibri" w:cs="Calibri"/>
        </w:rPr>
        <w:t>Monika Truchl</w:t>
      </w:r>
      <w:r w:rsidR="00FF6513" w:rsidRPr="003049E7">
        <w:rPr>
          <w:rFonts w:ascii="Calibri" w:hAnsi="Calibri" w:cs="Calibri"/>
        </w:rPr>
        <w:t>i</w:t>
      </w:r>
      <w:r w:rsidR="00FC7CA7" w:rsidRPr="003049E7">
        <w:rPr>
          <w:rFonts w:ascii="Calibri" w:hAnsi="Calibri" w:cs="Calibri"/>
        </w:rPr>
        <w:t>ková</w:t>
      </w:r>
      <w:r w:rsidR="00FF6513" w:rsidRPr="003049E7">
        <w:rPr>
          <w:rFonts w:ascii="Calibri" w:hAnsi="Calibri" w:cs="Calibri"/>
        </w:rPr>
        <w:t>, manažerka Platebních metod v</w:t>
      </w:r>
      <w:r w:rsidR="003049E7" w:rsidRPr="003049E7">
        <w:rPr>
          <w:rFonts w:ascii="Calibri" w:hAnsi="Calibri" w:cs="Calibri"/>
        </w:rPr>
        <w:t> </w:t>
      </w:r>
      <w:r w:rsidR="00FF6513" w:rsidRPr="003049E7">
        <w:rPr>
          <w:rFonts w:ascii="Calibri" w:hAnsi="Calibri" w:cs="Calibri"/>
        </w:rPr>
        <w:t>KB</w:t>
      </w:r>
      <w:r w:rsidR="003049E7" w:rsidRPr="003049E7">
        <w:rPr>
          <w:rFonts w:ascii="Calibri" w:hAnsi="Calibri" w:cs="Calibri"/>
        </w:rPr>
        <w:t>.</w:t>
      </w:r>
    </w:p>
    <w:p w14:paraId="30D4B52D" w14:textId="321C9802" w:rsidR="003049E7" w:rsidRPr="003049E7" w:rsidRDefault="003049E7" w:rsidP="00B97E93">
      <w:pPr>
        <w:spacing w:after="0" w:line="240" w:lineRule="auto"/>
        <w:jc w:val="both"/>
        <w:rPr>
          <w:rFonts w:ascii="Calibri" w:hAnsi="Calibri" w:cs="Calibri"/>
        </w:rPr>
      </w:pPr>
    </w:p>
    <w:p w14:paraId="7F952575" w14:textId="112F4221" w:rsidR="00FF6513" w:rsidRPr="003049E7" w:rsidRDefault="003049E7" w:rsidP="003049E7">
      <w:pPr>
        <w:jc w:val="both"/>
        <w:rPr>
          <w:rFonts w:ascii="Calibri" w:hAnsi="Calibri" w:cs="Calibri"/>
          <w:i/>
          <w:iCs/>
        </w:rPr>
      </w:pPr>
      <w:r>
        <w:rPr>
          <w:i/>
          <w:iCs/>
          <w:color w:val="212121"/>
        </w:rPr>
        <w:t>„</w:t>
      </w:r>
      <w:r w:rsidRPr="003049E7">
        <w:rPr>
          <w:i/>
          <w:iCs/>
          <w:color w:val="212121"/>
          <w:lang/>
        </w:rPr>
        <w:t>Esport v současné době patří k nejvíce dynamickým odvětvím vůbec a jsem velmi rád, že Mastercard v něm hraje stále důležitější roli. Pokračování v úspěšné spolupráci s Komerční bankou při vydávání speciálních platebních karet s motivy League of Legends je dalším krokem, jak vyjít vstříc hráčům a fanouškům a přinést jim touto cestou zážitky k nezaplacení,“</w:t>
      </w:r>
      <w:r w:rsidRPr="003049E7">
        <w:rPr>
          <w:color w:val="212121"/>
          <w:lang/>
        </w:rPr>
        <w:t> </w:t>
      </w:r>
      <w:r>
        <w:rPr>
          <w:color w:val="212121"/>
        </w:rPr>
        <w:t>doplnil</w:t>
      </w:r>
      <w:r w:rsidRPr="003049E7">
        <w:rPr>
          <w:color w:val="000000"/>
          <w:shd w:val="clear" w:color="auto" w:fill="FFFFFF"/>
          <w:lang/>
        </w:rPr>
        <w:t> generální ředitel společnosti Mastercard pro Českou republiku a Slovensko Michal Čarný.</w:t>
      </w:r>
      <w:bookmarkEnd w:id="0"/>
      <w:r w:rsidR="00FC7CA7" w:rsidRPr="003049E7">
        <w:rPr>
          <w:rFonts w:ascii="Calibri" w:hAnsi="Calibri" w:cs="Calibri"/>
          <w:i/>
          <w:iCs/>
        </w:rPr>
        <w:t xml:space="preserve"> </w:t>
      </w:r>
    </w:p>
    <w:p w14:paraId="70826978" w14:textId="6D2085A0" w:rsidR="00FC7CA7" w:rsidRPr="003049E7" w:rsidRDefault="00FC7CA7" w:rsidP="00172893">
      <w:pPr>
        <w:spacing w:after="0" w:line="240" w:lineRule="auto"/>
        <w:jc w:val="both"/>
        <w:rPr>
          <w:rFonts w:ascii="Calibri" w:hAnsi="Calibri" w:cs="Calibri"/>
        </w:rPr>
      </w:pPr>
      <w:r w:rsidRPr="003049E7">
        <w:rPr>
          <w:rFonts w:ascii="Calibri" w:hAnsi="Calibri" w:cs="Calibri"/>
        </w:rPr>
        <w:t xml:space="preserve">Design League of Legends </w:t>
      </w:r>
      <w:r w:rsidR="00415359" w:rsidRPr="003049E7">
        <w:rPr>
          <w:rFonts w:ascii="Calibri" w:hAnsi="Calibri" w:cs="Calibri"/>
        </w:rPr>
        <w:t xml:space="preserve">Esport </w:t>
      </w:r>
      <w:r w:rsidRPr="003049E7">
        <w:rPr>
          <w:rFonts w:ascii="Calibri" w:hAnsi="Calibri" w:cs="Calibri"/>
        </w:rPr>
        <w:t xml:space="preserve">si držitel karty </w:t>
      </w:r>
      <w:r w:rsidR="00F43CD0" w:rsidRPr="003049E7">
        <w:rPr>
          <w:rFonts w:ascii="Calibri" w:hAnsi="Calibri" w:cs="Calibri"/>
        </w:rPr>
        <w:t xml:space="preserve">MojeKarta od KB </w:t>
      </w:r>
      <w:r w:rsidRPr="003049E7">
        <w:rPr>
          <w:rFonts w:ascii="Calibri" w:hAnsi="Calibri" w:cs="Calibri"/>
        </w:rPr>
        <w:t xml:space="preserve">může zvolit na vybrané debetní a kreditní karty Mastercard. Nabídka Komerční banky cílí primárně na hráče a aktivní podporovatele hry. Proto </w:t>
      </w:r>
      <w:r w:rsidR="00C01DD7" w:rsidRPr="003049E7">
        <w:rPr>
          <w:rFonts w:ascii="Calibri" w:hAnsi="Calibri" w:cs="Calibri"/>
        </w:rPr>
        <w:t xml:space="preserve">jsou </w:t>
      </w:r>
      <w:r w:rsidRPr="003049E7">
        <w:rPr>
          <w:rFonts w:ascii="Calibri" w:hAnsi="Calibri" w:cs="Calibri"/>
        </w:rPr>
        <w:t xml:space="preserve">exkluzivní karetní </w:t>
      </w:r>
      <w:r w:rsidR="00C01DD7" w:rsidRPr="003049E7">
        <w:rPr>
          <w:rFonts w:ascii="Calibri" w:hAnsi="Calibri" w:cs="Calibri"/>
        </w:rPr>
        <w:t xml:space="preserve">designy podpořeny </w:t>
      </w:r>
      <w:r w:rsidRPr="003049E7">
        <w:rPr>
          <w:rFonts w:ascii="Calibri" w:hAnsi="Calibri" w:cs="Calibri"/>
        </w:rPr>
        <w:t xml:space="preserve">také kampaní v online médiích zaměřených na tyto komunity. </w:t>
      </w:r>
      <w:r w:rsidR="009A7936" w:rsidRPr="003049E7">
        <w:rPr>
          <w:rFonts w:ascii="Calibri" w:hAnsi="Calibri" w:cs="Calibri"/>
        </w:rPr>
        <w:t xml:space="preserve">Zapojí se i </w:t>
      </w:r>
      <w:r w:rsidRPr="003049E7">
        <w:rPr>
          <w:rFonts w:ascii="Calibri" w:hAnsi="Calibri" w:cs="Calibri"/>
        </w:rPr>
        <w:t>uznáv</w:t>
      </w:r>
      <w:r w:rsidR="009A7936" w:rsidRPr="003049E7">
        <w:rPr>
          <w:rFonts w:ascii="Calibri" w:hAnsi="Calibri" w:cs="Calibri"/>
        </w:rPr>
        <w:t xml:space="preserve">aní čeští herní </w:t>
      </w:r>
      <w:r w:rsidRPr="003049E7">
        <w:rPr>
          <w:rFonts w:ascii="Calibri" w:hAnsi="Calibri" w:cs="Calibri"/>
        </w:rPr>
        <w:t>influence</w:t>
      </w:r>
      <w:r w:rsidR="009A7936" w:rsidRPr="003049E7">
        <w:rPr>
          <w:rFonts w:ascii="Calibri" w:hAnsi="Calibri" w:cs="Calibri"/>
        </w:rPr>
        <w:t xml:space="preserve">ři </w:t>
      </w:r>
      <w:r w:rsidRPr="003049E7">
        <w:rPr>
          <w:rFonts w:ascii="Calibri" w:hAnsi="Calibri" w:cs="Calibri"/>
        </w:rPr>
        <w:t>Xnapy,</w:t>
      </w:r>
      <w:r w:rsidR="009A7936" w:rsidRPr="003049E7">
        <w:rPr>
          <w:rFonts w:ascii="Calibri" w:hAnsi="Calibri" w:cs="Calibri"/>
        </w:rPr>
        <w:t xml:space="preserve"> Agraelus, Herdyn a Ellienka.</w:t>
      </w:r>
      <w:r w:rsidRPr="003049E7">
        <w:rPr>
          <w:rFonts w:ascii="Calibri" w:hAnsi="Calibri" w:cs="Calibri"/>
        </w:rPr>
        <w:t xml:space="preserve">   </w:t>
      </w:r>
    </w:p>
    <w:p w14:paraId="6516085F" w14:textId="77777777" w:rsidR="004378A0" w:rsidRPr="003049E7" w:rsidRDefault="004378A0" w:rsidP="00172893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314ED26" w14:textId="6229EDFD" w:rsidR="009A7936" w:rsidRPr="003049E7" w:rsidRDefault="009A7936" w:rsidP="00172893">
      <w:pPr>
        <w:spacing w:after="0" w:line="240" w:lineRule="auto"/>
        <w:jc w:val="both"/>
        <w:rPr>
          <w:rFonts w:ascii="Calibri" w:hAnsi="Calibri" w:cs="Calibri"/>
        </w:rPr>
      </w:pPr>
      <w:r w:rsidRPr="003049E7">
        <w:rPr>
          <w:rFonts w:ascii="Calibri" w:hAnsi="Calibri" w:cs="Calibri"/>
          <w:b/>
          <w:bCs/>
        </w:rPr>
        <w:t>League of Legends®“</w:t>
      </w:r>
      <w:r w:rsidR="00D152A7" w:rsidRPr="003049E7">
        <w:rPr>
          <w:rFonts w:ascii="Calibri" w:hAnsi="Calibri" w:cs="Calibri"/>
        </w:rPr>
        <w:t xml:space="preserve">- hantýrkou LoL, Lolko - </w:t>
      </w:r>
      <w:r w:rsidRPr="003049E7">
        <w:rPr>
          <w:rFonts w:ascii="Calibri" w:hAnsi="Calibri" w:cs="Calibri"/>
        </w:rPr>
        <w:t>je týmová strategická online počítačová hra. Na světě jí každý měsíc aktivně hraje cca 115 milionů amatérů a profesionálů. Další miliony tyto esportovní klání sledují, pravidelně nebo příležitostně, na streamovacích platformách. V ČR je téměř milion registrovaných hráčů (30 % má 25 až 44 let) a 2,1 milionu fanoušků (70 % je starších 25 let).</w:t>
      </w:r>
    </w:p>
    <w:p w14:paraId="64DAA8B0" w14:textId="77777777" w:rsidR="009A7936" w:rsidRPr="009A7936" w:rsidRDefault="009A7936" w:rsidP="001728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D6D2EB" w14:textId="77777777" w:rsidR="009A7936" w:rsidRPr="009A7936" w:rsidRDefault="009A7936" w:rsidP="0017289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7936">
        <w:rPr>
          <w:rFonts w:ascii="Calibri" w:hAnsi="Calibri" w:cs="Calibri"/>
          <w:b/>
          <w:bCs/>
          <w:sz w:val="24"/>
          <w:szCs w:val="24"/>
        </w:rPr>
        <w:t>Charakteristiky šampionů:</w:t>
      </w:r>
    </w:p>
    <w:p w14:paraId="4A4807E6" w14:textId="4863DAD2" w:rsidR="00B8060D" w:rsidRDefault="00B8060D" w:rsidP="001728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DB444D" w14:textId="13B3457C" w:rsidR="00C01DD7" w:rsidRPr="00084115" w:rsidRDefault="00C01DD7" w:rsidP="00C01DD7">
      <w:pPr>
        <w:spacing w:after="0" w:line="240" w:lineRule="auto"/>
        <w:rPr>
          <w:rFonts w:ascii="Calibri" w:hAnsi="Calibri" w:cs="Calibri"/>
          <w:b/>
          <w:bCs/>
        </w:rPr>
      </w:pPr>
      <w:r w:rsidRPr="00084115">
        <w:rPr>
          <w:rFonts w:ascii="Calibri" w:hAnsi="Calibri" w:cs="Calibri"/>
          <w:b/>
          <w:bCs/>
        </w:rPr>
        <w:t>Jayce: Obránce zítřka</w:t>
      </w:r>
    </w:p>
    <w:p w14:paraId="51D80F92" w14:textId="77777777" w:rsidR="00C01DD7" w:rsidRPr="00084115" w:rsidRDefault="00C01DD7" w:rsidP="00C01DD7">
      <w:pPr>
        <w:spacing w:after="120" w:line="240" w:lineRule="auto"/>
        <w:rPr>
          <w:rFonts w:ascii="Calibri" w:hAnsi="Calibri" w:cs="Calibri"/>
        </w:rPr>
      </w:pPr>
      <w:r w:rsidRPr="00084115">
        <w:rPr>
          <w:rFonts w:ascii="Calibri" w:hAnsi="Calibri" w:cs="Calibri"/>
        </w:rPr>
        <w:t>Geniální vynálezce odvážně bránící vlastní lid modifikovatelným kladivem, se srdcem na pravém místě.</w:t>
      </w:r>
    </w:p>
    <w:p w14:paraId="68DA2675" w14:textId="77777777" w:rsidR="00C01DD7" w:rsidRPr="00084115" w:rsidRDefault="00C01DD7" w:rsidP="00C01DD7">
      <w:pPr>
        <w:spacing w:after="0" w:line="240" w:lineRule="auto"/>
        <w:rPr>
          <w:rFonts w:ascii="Calibri" w:hAnsi="Calibri" w:cs="Calibri"/>
          <w:b/>
          <w:bCs/>
        </w:rPr>
      </w:pPr>
      <w:r w:rsidRPr="00084115">
        <w:rPr>
          <w:rFonts w:ascii="Calibri" w:hAnsi="Calibri" w:cs="Calibri"/>
          <w:b/>
          <w:bCs/>
        </w:rPr>
        <w:t>Kai'Sa: Dcera Prázdnoty</w:t>
      </w:r>
    </w:p>
    <w:p w14:paraId="14024F37" w14:textId="77777777" w:rsidR="00C01DD7" w:rsidRPr="00084115" w:rsidRDefault="00C01DD7" w:rsidP="00C01DD7">
      <w:pPr>
        <w:spacing w:after="120" w:line="240" w:lineRule="auto"/>
        <w:rPr>
          <w:rFonts w:ascii="Calibri" w:hAnsi="Calibri" w:cs="Calibri"/>
        </w:rPr>
      </w:pPr>
      <w:r w:rsidRPr="00084115">
        <w:rPr>
          <w:rFonts w:ascii="Calibri" w:hAnsi="Calibri" w:cs="Calibri"/>
        </w:rPr>
        <w:t>Přes divoký vzhled zachraňuje druhé, jako smrtící lovkyně i posel děsivé budoucnosti, se silnou vůlí přežít.</w:t>
      </w:r>
    </w:p>
    <w:p w14:paraId="37A5BC5C" w14:textId="77777777" w:rsidR="00C01DD7" w:rsidRPr="00084115" w:rsidRDefault="00C01DD7" w:rsidP="00C01DD7">
      <w:pPr>
        <w:spacing w:after="0" w:line="240" w:lineRule="auto"/>
        <w:rPr>
          <w:rFonts w:ascii="Calibri" w:hAnsi="Calibri" w:cs="Calibri"/>
          <w:b/>
          <w:bCs/>
        </w:rPr>
      </w:pPr>
      <w:r w:rsidRPr="00084115">
        <w:rPr>
          <w:rFonts w:ascii="Calibri" w:hAnsi="Calibri" w:cs="Calibri"/>
          <w:b/>
          <w:bCs/>
        </w:rPr>
        <w:t>Ornn: Oheň pod horou</w:t>
      </w:r>
    </w:p>
    <w:p w14:paraId="6C37E4EB" w14:textId="77777777" w:rsidR="00C01DD7" w:rsidRPr="00084115" w:rsidRDefault="00C01DD7" w:rsidP="00C01DD7">
      <w:pPr>
        <w:rPr>
          <w:rFonts w:ascii="Calibri" w:hAnsi="Calibri" w:cs="Calibri"/>
        </w:rPr>
      </w:pPr>
      <w:r w:rsidRPr="00084115">
        <w:rPr>
          <w:rFonts w:ascii="Calibri" w:hAnsi="Calibri" w:cs="Calibri"/>
        </w:rPr>
        <w:t>Kovář polobůh, který se zastane smrtelníků buď svým kladivem, nebo ohnivou silou hor.</w:t>
      </w:r>
    </w:p>
    <w:p w14:paraId="375600DC" w14:textId="77777777" w:rsidR="00C01DD7" w:rsidRPr="00084115" w:rsidRDefault="00C01DD7" w:rsidP="00C01DD7">
      <w:pPr>
        <w:spacing w:after="0" w:line="240" w:lineRule="auto"/>
        <w:rPr>
          <w:rFonts w:ascii="Calibri" w:hAnsi="Calibri" w:cs="Calibri"/>
          <w:b/>
          <w:bCs/>
        </w:rPr>
      </w:pPr>
      <w:r w:rsidRPr="00084115">
        <w:rPr>
          <w:rFonts w:ascii="Calibri" w:hAnsi="Calibri" w:cs="Calibri"/>
          <w:b/>
          <w:bCs/>
        </w:rPr>
        <w:lastRenderedPageBreak/>
        <w:t>Taliyah: Splétačka kamene</w:t>
      </w:r>
    </w:p>
    <w:p w14:paraId="796BCA91" w14:textId="77777777" w:rsidR="00C01DD7" w:rsidRPr="00084115" w:rsidRDefault="00C01DD7" w:rsidP="00C01DD7">
      <w:pPr>
        <w:spacing w:after="120" w:line="240" w:lineRule="auto"/>
        <w:rPr>
          <w:rFonts w:ascii="Calibri" w:hAnsi="Calibri" w:cs="Calibri"/>
        </w:rPr>
      </w:pPr>
      <w:r w:rsidRPr="00084115">
        <w:rPr>
          <w:rFonts w:ascii="Calibri" w:hAnsi="Calibri" w:cs="Calibri"/>
        </w:rPr>
        <w:t>Dívka z kmene nomádů, která umí splétat kamení, s vůlí pevnou jako skála a neochvějným duchem ochránkyně.</w:t>
      </w:r>
    </w:p>
    <w:p w14:paraId="13A3BFCD" w14:textId="374703EE" w:rsidR="005934B6" w:rsidRPr="009A7936" w:rsidRDefault="005934B6" w:rsidP="009A793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9F9F0DC" w14:textId="1A28CE6A" w:rsidR="00D51F18" w:rsidRPr="00F43CD0" w:rsidRDefault="00D51F18" w:rsidP="00F43CD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A7936">
        <w:rPr>
          <w:rFonts w:ascii="Calibri" w:hAnsi="Calibri" w:cs="Calibri"/>
          <w:b/>
          <w:bCs/>
        </w:rPr>
        <w:t>Pavel Zúbek</w:t>
      </w:r>
    </w:p>
    <w:p w14:paraId="5499E330" w14:textId="77777777" w:rsidR="00D51F18" w:rsidRPr="009A7936" w:rsidRDefault="00D51F18" w:rsidP="009A7936">
      <w:pPr>
        <w:spacing w:after="0" w:line="240" w:lineRule="auto"/>
        <w:rPr>
          <w:rFonts w:ascii="Calibri" w:hAnsi="Calibri" w:cs="Calibri"/>
        </w:rPr>
      </w:pPr>
      <w:r w:rsidRPr="009A7936">
        <w:rPr>
          <w:rFonts w:ascii="Calibri" w:hAnsi="Calibri" w:cs="Calibri"/>
        </w:rPr>
        <w:t>Komunikace KB</w:t>
      </w:r>
    </w:p>
    <w:p w14:paraId="2EAD9C47" w14:textId="77777777" w:rsidR="00D51F18" w:rsidRPr="009A7936" w:rsidRDefault="00D51F18" w:rsidP="009A7936">
      <w:pPr>
        <w:spacing w:after="0" w:line="240" w:lineRule="auto"/>
        <w:rPr>
          <w:rFonts w:ascii="Calibri" w:hAnsi="Calibri" w:cs="Calibri"/>
        </w:rPr>
      </w:pPr>
      <w:r w:rsidRPr="009A7936">
        <w:rPr>
          <w:rFonts w:ascii="Calibri" w:hAnsi="Calibri" w:cs="Calibri"/>
        </w:rPr>
        <w:t>mobil.: +420 725 420 107</w:t>
      </w:r>
    </w:p>
    <w:p w14:paraId="55512296" w14:textId="77777777" w:rsidR="00D51F18" w:rsidRPr="009A7936" w:rsidRDefault="0001434B" w:rsidP="009A7936">
      <w:pPr>
        <w:spacing w:after="0" w:line="240" w:lineRule="auto"/>
        <w:rPr>
          <w:rFonts w:ascii="Calibri" w:hAnsi="Calibri" w:cs="Calibri"/>
          <w:color w:val="FF0000"/>
          <w:u w:val="single"/>
        </w:rPr>
      </w:pPr>
      <w:hyperlink r:id="rId6" w:history="1">
        <w:r w:rsidR="00D51F18" w:rsidRPr="009A7936">
          <w:rPr>
            <w:rStyle w:val="Hypertextovodkaz"/>
            <w:rFonts w:ascii="Calibri" w:hAnsi="Calibri" w:cs="Calibri"/>
          </w:rPr>
          <w:t>pavel_zubek@kb.cz</w:t>
        </w:r>
      </w:hyperlink>
    </w:p>
    <w:p w14:paraId="45246250" w14:textId="77777777" w:rsidR="00506E77" w:rsidRPr="009A7936" w:rsidRDefault="00506E77" w:rsidP="00506E77">
      <w:pPr>
        <w:pStyle w:val="Zkladnodstavec"/>
        <w:spacing w:line="240" w:lineRule="auto"/>
        <w:rPr>
          <w:rFonts w:ascii="Calibri" w:hAnsi="Calibri" w:cs="Calibri"/>
          <w:color w:val="E9041E"/>
          <w:spacing w:val="-2"/>
          <w:sz w:val="22"/>
          <w:szCs w:val="22"/>
        </w:rPr>
      </w:pPr>
    </w:p>
    <w:p w14:paraId="1FDC6823" w14:textId="77777777" w:rsidR="005F4AE0" w:rsidRPr="009A7936" w:rsidRDefault="005F4AE0" w:rsidP="00506E77">
      <w:pPr>
        <w:pStyle w:val="Zkladnodstavec"/>
        <w:spacing w:line="240" w:lineRule="auto"/>
        <w:rPr>
          <w:rFonts w:ascii="Calibri" w:hAnsi="Calibri" w:cs="Calibri"/>
          <w:color w:val="E9041E"/>
          <w:spacing w:val="-2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50"/>
      </w:tblGrid>
      <w:tr w:rsidR="00E7672E" w:rsidRPr="009A7936" w14:paraId="0E344064" w14:textId="77777777" w:rsidTr="00E7672E">
        <w:trPr>
          <w:trHeight w:val="529"/>
        </w:trPr>
        <w:tc>
          <w:tcPr>
            <w:tcW w:w="1701" w:type="dxa"/>
            <w:shd w:val="clear" w:color="auto" w:fill="D8E9D7"/>
            <w:tcMar>
              <w:left w:w="284" w:type="dxa"/>
              <w:right w:w="0" w:type="dxa"/>
            </w:tcMar>
            <w:vAlign w:val="center"/>
          </w:tcPr>
          <w:p w14:paraId="6593CEB8" w14:textId="77777777" w:rsidR="00506E77" w:rsidRPr="009A7936" w:rsidRDefault="00E7672E" w:rsidP="007D4F9F">
            <w:pPr>
              <w:pStyle w:val="Zkladnodstavec"/>
              <w:spacing w:line="240" w:lineRule="auto"/>
              <w:rPr>
                <w:rFonts w:ascii="Calibri" w:hAnsi="Calibri" w:cs="Calibri"/>
                <w:caps/>
                <w:color w:val="E9041E"/>
                <w:sz w:val="50"/>
                <w:szCs w:val="50"/>
              </w:rPr>
            </w:pPr>
            <w:r w:rsidRPr="009A7936">
              <w:rPr>
                <w:rFonts w:ascii="Calibri" w:hAnsi="Calibri" w:cs="Calibri"/>
                <w:caps/>
                <w:noProof/>
                <w:color w:val="E9041E"/>
                <w:sz w:val="50"/>
                <w:szCs w:val="50"/>
              </w:rPr>
              <w:drawing>
                <wp:inline distT="0" distB="0" distL="0" distR="0" wp14:anchorId="257F018F" wp14:editId="146B7EBA">
                  <wp:extent cx="707666" cy="519500"/>
                  <wp:effectExtent l="0" t="0" r="0" b="0"/>
                  <wp:docPr id="8" name="Grafický 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cký objekt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43" cy="5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shd w:val="clear" w:color="auto" w:fill="D8E9D7"/>
            <w:tcMar>
              <w:top w:w="227" w:type="dxa"/>
              <w:left w:w="0" w:type="dxa"/>
              <w:bottom w:w="227" w:type="dxa"/>
              <w:right w:w="397" w:type="dxa"/>
            </w:tcMar>
            <w:vAlign w:val="center"/>
          </w:tcPr>
          <w:p w14:paraId="240E895A" w14:textId="639D9000" w:rsidR="00FF6513" w:rsidRDefault="00FF6513" w:rsidP="00FF6513">
            <w:pPr>
              <w:autoSpaceDE w:val="0"/>
              <w:autoSpaceDN w:val="0"/>
              <w:adjustRightInd w:val="0"/>
              <w:rPr>
                <w:rFonts w:ascii="HelveticaNeueLTPro-Roman2" w:eastAsia="HelveticaNeueLTPro-Roman2" w:cs="HelveticaNeueLTPro-Roman2"/>
                <w:sz w:val="18"/>
                <w:szCs w:val="18"/>
              </w:rPr>
            </w:pP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Komer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banka je mate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skou spole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nosti Skupiny KB a je sou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čá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st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finan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skupiny </w:t>
            </w:r>
            <w:proofErr w:type="spellStart"/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Soci</w:t>
            </w:r>
            <w:r w:rsidR="00164BC6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t</w:t>
            </w:r>
            <w:r w:rsidR="00164BC6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proofErr w:type="spellEnd"/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G</w:t>
            </w:r>
            <w:r w:rsidR="00164BC6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 w:rsidR="00164BC6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rale</w:t>
            </w:r>
            <w:proofErr w:type="spellEnd"/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. Komer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banka pat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i mezi p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edn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bankovn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instituce v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Č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esk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republice a v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 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regionu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st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ř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edn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a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v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ý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chodn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Evropy. KB je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univerz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á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ln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bankou se 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š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irokou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nab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dkou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slu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ž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eb v oblasti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retailov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ho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,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podnikov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ho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a investi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ho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bankovnictv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. Spole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nosti Skupiny Komer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banky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nab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zej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dal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ší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specializovan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slu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ž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by, mezi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kter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pat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i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penzijn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p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ipoji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š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t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ě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ni,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stavebn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spo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eni, leasing, factoring,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spot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ř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ebitelsk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ú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v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ě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ry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a poji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š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t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ě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ni,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kter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jsou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dostupn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prost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ř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ednictv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m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t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ě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pobo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ek KB,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p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ří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m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ho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bankovnictv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a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vlastn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ch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distribu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č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ch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t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p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ří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slu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š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ý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ch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spole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č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nosti. KB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p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ů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sob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rovn</w:t>
            </w:r>
            <w:r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ěž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ve 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Slovensk</w:t>
            </w:r>
            <w:r w:rsidR="00FE066C"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republice, a to</w:t>
            </w:r>
          </w:p>
          <w:p w14:paraId="726E5809" w14:textId="5AAD8F26" w:rsidR="00506E77" w:rsidRPr="009A7936" w:rsidRDefault="00FE066C" w:rsidP="00FF65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79642"/>
                <w:sz w:val="16"/>
                <w:szCs w:val="16"/>
              </w:rPr>
            </w:pP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prost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ednictv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m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pobo</w:t>
            </w:r>
            <w:r w:rsidR="00FF6513"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č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ky 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zam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ěř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en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é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na obsluhu korpor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>á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>tn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>ch klient</w:t>
            </w:r>
            <w:r w:rsidR="00FF6513"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ů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a 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prost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ednictv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í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m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ě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kter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ý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ch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dce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ř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in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ý</w:t>
            </w:r>
            <w:r>
              <w:rPr>
                <w:rFonts w:ascii="HelveticaNeueLTPro-Roman2" w:eastAsia="HelveticaNeueLTPro-Roman2" w:cs="HelveticaNeueLTPro-Roman2"/>
                <w:sz w:val="18"/>
                <w:szCs w:val="18"/>
              </w:rPr>
              <w:t>ch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 xml:space="preserve"> spole</w:t>
            </w:r>
            <w:r w:rsidR="00FF6513">
              <w:rPr>
                <w:rFonts w:ascii="HelveticaNeueLTPro-Roman2" w:eastAsia="HelveticaNeueLTPro-Roman2" w:cs="HelveticaNeueLTPro-Roman2" w:hint="eastAsia"/>
                <w:sz w:val="18"/>
                <w:szCs w:val="18"/>
              </w:rPr>
              <w:t>č</w:t>
            </w:r>
            <w:r w:rsidR="00FF6513">
              <w:rPr>
                <w:rFonts w:ascii="HelveticaNeueLTPro-Roman2" w:eastAsia="HelveticaNeueLTPro-Roman2" w:cs="HelveticaNeueLTPro-Roman2"/>
                <w:sz w:val="18"/>
                <w:szCs w:val="18"/>
              </w:rPr>
              <w:t>nosti.</w:t>
            </w:r>
          </w:p>
        </w:tc>
      </w:tr>
    </w:tbl>
    <w:p w14:paraId="0596FE32" w14:textId="77777777" w:rsidR="00506E77" w:rsidRPr="009A7936" w:rsidRDefault="00506E77" w:rsidP="005F4AE0">
      <w:pPr>
        <w:pStyle w:val="Zkladnodstavec"/>
        <w:tabs>
          <w:tab w:val="left" w:pos="4080"/>
        </w:tabs>
        <w:spacing w:line="240" w:lineRule="auto"/>
        <w:rPr>
          <w:rFonts w:ascii="Calibri" w:hAnsi="Calibri" w:cs="Calibri"/>
        </w:rPr>
      </w:pPr>
    </w:p>
    <w:sectPr w:rsidR="00506E77" w:rsidRPr="009A7936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A12D" w14:textId="77777777" w:rsidR="0001434B" w:rsidRDefault="0001434B" w:rsidP="00A84CE4">
      <w:pPr>
        <w:spacing w:after="0" w:line="240" w:lineRule="auto"/>
      </w:pPr>
      <w:r>
        <w:separator/>
      </w:r>
    </w:p>
  </w:endnote>
  <w:endnote w:type="continuationSeparator" w:id="0">
    <w:p w14:paraId="68E3351F" w14:textId="77777777" w:rsidR="0001434B" w:rsidRDefault="0001434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Pro-Roman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BF69F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2196" w14:textId="77777777" w:rsidR="0001434B" w:rsidRDefault="0001434B" w:rsidP="00A84CE4">
      <w:pPr>
        <w:spacing w:after="0" w:line="240" w:lineRule="auto"/>
      </w:pPr>
      <w:r>
        <w:separator/>
      </w:r>
    </w:p>
  </w:footnote>
  <w:footnote w:type="continuationSeparator" w:id="0">
    <w:p w14:paraId="4A99CCF0" w14:textId="77777777" w:rsidR="0001434B" w:rsidRDefault="0001434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434B"/>
    <w:rsid w:val="00090F57"/>
    <w:rsid w:val="000C13CD"/>
    <w:rsid w:val="00163C38"/>
    <w:rsid w:val="00164BC6"/>
    <w:rsid w:val="00172893"/>
    <w:rsid w:val="001E2085"/>
    <w:rsid w:val="001E2D4D"/>
    <w:rsid w:val="00242431"/>
    <w:rsid w:val="00283C19"/>
    <w:rsid w:val="002D3EBA"/>
    <w:rsid w:val="003049E7"/>
    <w:rsid w:val="003163C7"/>
    <w:rsid w:val="00327599"/>
    <w:rsid w:val="00374FBB"/>
    <w:rsid w:val="00415359"/>
    <w:rsid w:val="00422452"/>
    <w:rsid w:val="004271CC"/>
    <w:rsid w:val="004378A0"/>
    <w:rsid w:val="00464800"/>
    <w:rsid w:val="004E520C"/>
    <w:rsid w:val="00504BBA"/>
    <w:rsid w:val="00506E77"/>
    <w:rsid w:val="005165EF"/>
    <w:rsid w:val="00521474"/>
    <w:rsid w:val="00574BAE"/>
    <w:rsid w:val="005934B6"/>
    <w:rsid w:val="005A246C"/>
    <w:rsid w:val="005A7D39"/>
    <w:rsid w:val="005F4AE0"/>
    <w:rsid w:val="006A5AD8"/>
    <w:rsid w:val="006B1C70"/>
    <w:rsid w:val="00756EBF"/>
    <w:rsid w:val="00766C5E"/>
    <w:rsid w:val="007D5625"/>
    <w:rsid w:val="00817960"/>
    <w:rsid w:val="00836918"/>
    <w:rsid w:val="008576C7"/>
    <w:rsid w:val="00895A4F"/>
    <w:rsid w:val="00934122"/>
    <w:rsid w:val="0094078F"/>
    <w:rsid w:val="00997DC8"/>
    <w:rsid w:val="009A7936"/>
    <w:rsid w:val="00A237A3"/>
    <w:rsid w:val="00A54B67"/>
    <w:rsid w:val="00A774B7"/>
    <w:rsid w:val="00A84CE4"/>
    <w:rsid w:val="00AB5225"/>
    <w:rsid w:val="00AC4CBA"/>
    <w:rsid w:val="00AE3F5C"/>
    <w:rsid w:val="00B8060D"/>
    <w:rsid w:val="00B851FD"/>
    <w:rsid w:val="00B97E93"/>
    <w:rsid w:val="00BC4441"/>
    <w:rsid w:val="00C01DD7"/>
    <w:rsid w:val="00C316F8"/>
    <w:rsid w:val="00CC46E9"/>
    <w:rsid w:val="00CE21F4"/>
    <w:rsid w:val="00D152A7"/>
    <w:rsid w:val="00D51F18"/>
    <w:rsid w:val="00D73125"/>
    <w:rsid w:val="00D763CE"/>
    <w:rsid w:val="00D912C1"/>
    <w:rsid w:val="00D97FDD"/>
    <w:rsid w:val="00E1489A"/>
    <w:rsid w:val="00E273DF"/>
    <w:rsid w:val="00E33A39"/>
    <w:rsid w:val="00E60D5C"/>
    <w:rsid w:val="00E7672E"/>
    <w:rsid w:val="00E83835"/>
    <w:rsid w:val="00E84490"/>
    <w:rsid w:val="00F01916"/>
    <w:rsid w:val="00F01AB1"/>
    <w:rsid w:val="00F14CFE"/>
    <w:rsid w:val="00F4193C"/>
    <w:rsid w:val="00F43CD0"/>
    <w:rsid w:val="00F52694"/>
    <w:rsid w:val="00F6736D"/>
    <w:rsid w:val="00FC7CA7"/>
    <w:rsid w:val="00FE066C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378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8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8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8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8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8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8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106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Michal TEUBNER</cp:lastModifiedBy>
  <cp:revision>5</cp:revision>
  <dcterms:created xsi:type="dcterms:W3CDTF">2022-05-04T07:28:00Z</dcterms:created>
  <dcterms:modified xsi:type="dcterms:W3CDTF">2022-05-04T09:02:00Z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2022-05-04T09:02:46Z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5fdb3948-872f-4e98-9cca-083d489309fc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