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BF61" w14:textId="4CE740BD" w:rsidR="0003398E" w:rsidRPr="002F11F5" w:rsidRDefault="002A4A29" w:rsidP="00B5315B">
      <w:pPr>
        <w:pStyle w:val="Nadpis1"/>
        <w:rPr>
          <w:color w:val="E60028" w:themeColor="accent2"/>
          <w:lang w:val="en-GB"/>
        </w:rPr>
      </w:pPr>
      <w:r w:rsidRPr="002F11F5">
        <w:rPr>
          <w:caps w:val="0"/>
          <w:color w:val="E60028" w:themeColor="accent2"/>
          <w:lang w:val="en-GB"/>
        </w:rPr>
        <w:t>KOMERČNÍ BANK</w:t>
      </w:r>
      <w:r w:rsidR="006E6BAB" w:rsidRPr="002F11F5">
        <w:rPr>
          <w:caps w:val="0"/>
          <w:color w:val="E60028" w:themeColor="accent2"/>
          <w:lang w:val="en-GB"/>
        </w:rPr>
        <w:t>A’S MACROECONOMIC FORECAST</w:t>
      </w:r>
      <w:r w:rsidR="006E6BAB" w:rsidRPr="002F11F5">
        <w:rPr>
          <w:caps w:val="0"/>
          <w:color w:val="E60028" w:themeColor="accent2"/>
          <w:lang w:val="en-GB"/>
        </w:rPr>
        <w:br/>
      </w:r>
      <w:r w:rsidR="00AC436B" w:rsidRPr="00AC436B">
        <w:rPr>
          <w:color w:val="E60028" w:themeColor="accent2"/>
          <w:lang w:val="en-GB"/>
        </w:rPr>
        <w:t>Economy revving up</w:t>
      </w:r>
    </w:p>
    <w:p w14:paraId="1938A363" w14:textId="77777777" w:rsidR="0003398E" w:rsidRPr="002F11F5" w:rsidRDefault="0003398E" w:rsidP="0003398E">
      <w:pPr>
        <w:spacing w:before="120" w:line="276" w:lineRule="auto"/>
        <w:jc w:val="both"/>
        <w:rPr>
          <w:color w:val="000000" w:themeColor="text1"/>
          <w:sz w:val="24"/>
          <w:szCs w:val="24"/>
          <w:highlight w:val="yellow"/>
          <w:lang w:val="en-GB"/>
        </w:rPr>
      </w:pPr>
    </w:p>
    <w:p w14:paraId="2CE0DAD1" w14:textId="77777777" w:rsidR="008E652E" w:rsidRPr="002F11F5" w:rsidRDefault="00235B2B" w:rsidP="32959675">
      <w:pPr>
        <w:jc w:val="both"/>
        <w:rPr>
          <w:b/>
          <w:bCs/>
          <w:lang w:val="en-GB"/>
        </w:rPr>
      </w:pPr>
      <w:r w:rsidRPr="002F11F5">
        <w:rPr>
          <w:b/>
          <w:bCs/>
          <w:lang w:val="en-GB"/>
        </w:rPr>
        <w:t>T</w:t>
      </w:r>
      <w:r w:rsidR="006E6BAB" w:rsidRPr="002F11F5">
        <w:rPr>
          <w:b/>
          <w:bCs/>
          <w:lang w:val="en-GB"/>
        </w:rPr>
        <w:t xml:space="preserve">he Czech economy is </w:t>
      </w:r>
      <w:r w:rsidR="002F11F5" w:rsidRPr="002F11F5">
        <w:rPr>
          <w:b/>
          <w:bCs/>
          <w:lang w:val="en-GB"/>
        </w:rPr>
        <w:t>growing</w:t>
      </w:r>
      <w:r w:rsidR="006E6BAB" w:rsidRPr="002F11F5">
        <w:rPr>
          <w:b/>
          <w:bCs/>
          <w:lang w:val="en-GB"/>
        </w:rPr>
        <w:t xml:space="preserve"> </w:t>
      </w:r>
      <w:r w:rsidR="002F11F5" w:rsidRPr="002F11F5">
        <w:rPr>
          <w:b/>
          <w:bCs/>
          <w:lang w:val="en-GB"/>
        </w:rPr>
        <w:t>rapidly</w:t>
      </w:r>
      <w:r w:rsidR="006E6BAB" w:rsidRPr="002F11F5">
        <w:rPr>
          <w:b/>
          <w:bCs/>
          <w:lang w:val="en-GB"/>
        </w:rPr>
        <w:t xml:space="preserve">. </w:t>
      </w:r>
      <w:r w:rsidR="00D26371">
        <w:rPr>
          <w:b/>
          <w:bCs/>
          <w:lang w:val="en-GB"/>
        </w:rPr>
        <w:t>T</w:t>
      </w:r>
      <w:r w:rsidR="006E6BAB" w:rsidRPr="002F11F5">
        <w:rPr>
          <w:b/>
          <w:bCs/>
          <w:lang w:val="en-GB"/>
        </w:rPr>
        <w:t>he anti-</w:t>
      </w:r>
      <w:r w:rsidR="008E652E" w:rsidRPr="002F11F5">
        <w:rPr>
          <w:b/>
          <w:bCs/>
          <w:lang w:val="en-GB"/>
        </w:rPr>
        <w:t xml:space="preserve">pandemic </w:t>
      </w:r>
      <w:r w:rsidR="006E6BAB" w:rsidRPr="002F11F5">
        <w:rPr>
          <w:b/>
          <w:bCs/>
          <w:lang w:val="en-GB"/>
        </w:rPr>
        <w:t>measures</w:t>
      </w:r>
      <w:r w:rsidR="00D26371">
        <w:rPr>
          <w:b/>
          <w:bCs/>
          <w:lang w:val="en-GB"/>
        </w:rPr>
        <w:t xml:space="preserve"> were eased quickly</w:t>
      </w:r>
      <w:r w:rsidR="006E6BAB" w:rsidRPr="002F11F5">
        <w:rPr>
          <w:b/>
          <w:bCs/>
          <w:lang w:val="en-GB"/>
        </w:rPr>
        <w:t xml:space="preserve"> during 2Q</w:t>
      </w:r>
      <w:r w:rsidR="00D26371">
        <w:rPr>
          <w:b/>
          <w:bCs/>
          <w:lang w:val="en-GB"/>
        </w:rPr>
        <w:t>, which</w:t>
      </w:r>
      <w:r w:rsidR="006E6BAB" w:rsidRPr="002F11F5">
        <w:rPr>
          <w:b/>
          <w:bCs/>
          <w:lang w:val="en-GB"/>
        </w:rPr>
        <w:t xml:space="preserve"> resulted in </w:t>
      </w:r>
      <w:r w:rsidR="0078571B">
        <w:rPr>
          <w:b/>
          <w:bCs/>
          <w:lang w:val="en-GB"/>
        </w:rPr>
        <w:t xml:space="preserve">the </w:t>
      </w:r>
      <w:r w:rsidR="00654CC6" w:rsidRPr="002F11F5">
        <w:rPr>
          <w:b/>
          <w:bCs/>
          <w:lang w:val="en-GB"/>
        </w:rPr>
        <w:t>economic</w:t>
      </w:r>
      <w:r w:rsidR="008E652E" w:rsidRPr="002F11F5">
        <w:rPr>
          <w:b/>
          <w:bCs/>
          <w:lang w:val="en-GB"/>
        </w:rPr>
        <w:t xml:space="preserve"> </w:t>
      </w:r>
      <w:r w:rsidR="00654CC6" w:rsidRPr="002F11F5">
        <w:rPr>
          <w:b/>
          <w:bCs/>
          <w:lang w:val="en-GB"/>
        </w:rPr>
        <w:t>activity</w:t>
      </w:r>
      <w:r w:rsidR="0078571B">
        <w:rPr>
          <w:b/>
          <w:bCs/>
          <w:lang w:val="en-GB"/>
        </w:rPr>
        <w:t xml:space="preserve"> surging as</w:t>
      </w:r>
      <w:r w:rsidR="0078571B" w:rsidRPr="002F11F5">
        <w:rPr>
          <w:b/>
          <w:bCs/>
          <w:lang w:val="en-GB"/>
        </w:rPr>
        <w:t xml:space="preserve"> quick</w:t>
      </w:r>
      <w:r w:rsidR="0078571B">
        <w:rPr>
          <w:b/>
          <w:bCs/>
          <w:lang w:val="en-GB"/>
        </w:rPr>
        <w:t>ly</w:t>
      </w:r>
      <w:r w:rsidR="008E652E" w:rsidRPr="002F11F5">
        <w:rPr>
          <w:b/>
          <w:bCs/>
          <w:lang w:val="en-GB"/>
        </w:rPr>
        <w:t xml:space="preserve">. </w:t>
      </w:r>
      <w:r w:rsidR="00CF2F73" w:rsidRPr="002F11F5">
        <w:rPr>
          <w:b/>
          <w:bCs/>
          <w:lang w:val="en-GB"/>
        </w:rPr>
        <w:t xml:space="preserve">Both retailers and providers of services welcomed customers again at last. Internal demand will be the </w:t>
      </w:r>
      <w:r w:rsidR="002F11F5" w:rsidRPr="002F11F5">
        <w:rPr>
          <w:b/>
          <w:bCs/>
          <w:lang w:val="en-GB"/>
        </w:rPr>
        <w:t>main</w:t>
      </w:r>
      <w:r w:rsidR="00CF2F73" w:rsidRPr="002F11F5">
        <w:rPr>
          <w:b/>
          <w:bCs/>
          <w:lang w:val="en-GB"/>
        </w:rPr>
        <w:t xml:space="preserve"> driver of </w:t>
      </w:r>
      <w:r w:rsidR="00654CC6" w:rsidRPr="002F11F5">
        <w:rPr>
          <w:b/>
          <w:bCs/>
          <w:lang w:val="en-GB"/>
        </w:rPr>
        <w:t>economic</w:t>
      </w:r>
      <w:r w:rsidR="008E652E" w:rsidRPr="002F11F5">
        <w:rPr>
          <w:b/>
          <w:bCs/>
          <w:lang w:val="en-GB"/>
        </w:rPr>
        <w:t xml:space="preserve"> </w:t>
      </w:r>
      <w:r w:rsidR="00CF2F73" w:rsidRPr="002F11F5">
        <w:rPr>
          <w:b/>
          <w:bCs/>
          <w:lang w:val="en-GB"/>
        </w:rPr>
        <w:t>development until the end of th</w:t>
      </w:r>
      <w:r w:rsidR="0078571B">
        <w:rPr>
          <w:b/>
          <w:bCs/>
          <w:lang w:val="en-GB"/>
        </w:rPr>
        <w:t>is</w:t>
      </w:r>
      <w:r w:rsidR="00CF2F73" w:rsidRPr="002F11F5">
        <w:rPr>
          <w:b/>
          <w:bCs/>
          <w:lang w:val="en-GB"/>
        </w:rPr>
        <w:t xml:space="preserve"> year</w:t>
      </w:r>
      <w:r w:rsidR="008E652E" w:rsidRPr="002F11F5">
        <w:rPr>
          <w:b/>
          <w:bCs/>
          <w:lang w:val="en-GB"/>
        </w:rPr>
        <w:t xml:space="preserve">. </w:t>
      </w:r>
      <w:r w:rsidR="00CF2F73" w:rsidRPr="002F11F5">
        <w:rPr>
          <w:b/>
          <w:bCs/>
          <w:lang w:val="en-GB"/>
        </w:rPr>
        <w:t xml:space="preserve">However, </w:t>
      </w:r>
      <w:r w:rsidR="002F11F5" w:rsidRPr="002F11F5">
        <w:rPr>
          <w:b/>
          <w:bCs/>
          <w:lang w:val="en-GB"/>
        </w:rPr>
        <w:t>production</w:t>
      </w:r>
      <w:r w:rsidR="00CF2F73" w:rsidRPr="002F11F5">
        <w:rPr>
          <w:b/>
          <w:bCs/>
          <w:lang w:val="en-GB"/>
        </w:rPr>
        <w:t xml:space="preserve"> will be </w:t>
      </w:r>
      <w:r w:rsidR="00D34371" w:rsidRPr="002F11F5">
        <w:rPr>
          <w:b/>
          <w:bCs/>
          <w:lang w:val="en-GB"/>
        </w:rPr>
        <w:t>limit</w:t>
      </w:r>
      <w:r w:rsidR="00CF2F73" w:rsidRPr="002F11F5">
        <w:rPr>
          <w:b/>
          <w:bCs/>
          <w:lang w:val="en-GB"/>
        </w:rPr>
        <w:t xml:space="preserve">ed by shortages or higher prices of certain </w:t>
      </w:r>
      <w:r w:rsidR="002F11F5" w:rsidRPr="002F11F5">
        <w:rPr>
          <w:b/>
          <w:bCs/>
          <w:lang w:val="en-GB"/>
        </w:rPr>
        <w:t>feedstoc</w:t>
      </w:r>
      <w:r w:rsidR="0078571B">
        <w:rPr>
          <w:b/>
          <w:bCs/>
          <w:lang w:val="en-GB"/>
        </w:rPr>
        <w:t>k</w:t>
      </w:r>
      <w:r w:rsidR="00CF2F73" w:rsidRPr="002F11F5">
        <w:rPr>
          <w:b/>
          <w:bCs/>
          <w:lang w:val="en-GB"/>
        </w:rPr>
        <w:t xml:space="preserve"> and other inputs into manufacture</w:t>
      </w:r>
      <w:r w:rsidR="00D34371" w:rsidRPr="002F11F5">
        <w:rPr>
          <w:b/>
          <w:bCs/>
          <w:lang w:val="en-GB"/>
        </w:rPr>
        <w:t xml:space="preserve">, </w:t>
      </w:r>
      <w:r w:rsidR="00CF2F73" w:rsidRPr="002F11F5">
        <w:rPr>
          <w:b/>
          <w:bCs/>
          <w:lang w:val="en-GB"/>
        </w:rPr>
        <w:t xml:space="preserve">and workforce </w:t>
      </w:r>
      <w:r w:rsidR="002F11F5" w:rsidRPr="002F11F5">
        <w:rPr>
          <w:b/>
          <w:bCs/>
          <w:lang w:val="en-GB"/>
        </w:rPr>
        <w:t>shortages</w:t>
      </w:r>
      <w:r w:rsidR="00CF2F73" w:rsidRPr="002F11F5">
        <w:rPr>
          <w:b/>
          <w:bCs/>
          <w:lang w:val="en-GB"/>
        </w:rPr>
        <w:t xml:space="preserve"> continue to be a barrier to faster growth. The CNB will</w:t>
      </w:r>
      <w:r w:rsidR="0078571B" w:rsidRPr="002F11F5">
        <w:rPr>
          <w:b/>
          <w:bCs/>
          <w:lang w:val="en-GB"/>
        </w:rPr>
        <w:t>, in a situation of an already growing economy,</w:t>
      </w:r>
      <w:r w:rsidR="00CF2F73" w:rsidRPr="002F11F5">
        <w:rPr>
          <w:b/>
          <w:bCs/>
          <w:lang w:val="en-GB"/>
        </w:rPr>
        <w:t xml:space="preserve"> correct the persisting </w:t>
      </w:r>
      <w:r w:rsidR="002F11F5" w:rsidRPr="002F11F5">
        <w:rPr>
          <w:b/>
          <w:bCs/>
          <w:lang w:val="en-GB"/>
        </w:rPr>
        <w:t>inflationary</w:t>
      </w:r>
      <w:r w:rsidR="00CF2F73" w:rsidRPr="002F11F5">
        <w:rPr>
          <w:b/>
          <w:bCs/>
          <w:lang w:val="en-GB"/>
        </w:rPr>
        <w:t xml:space="preserve"> pressures </w:t>
      </w:r>
      <w:r w:rsidR="0078571B">
        <w:rPr>
          <w:b/>
          <w:bCs/>
          <w:lang w:val="en-GB"/>
        </w:rPr>
        <w:t>through</w:t>
      </w:r>
      <w:r w:rsidR="00CF2F73" w:rsidRPr="002F11F5">
        <w:rPr>
          <w:b/>
          <w:bCs/>
          <w:lang w:val="en-GB"/>
        </w:rPr>
        <w:t xml:space="preserve"> rate hikes. </w:t>
      </w:r>
    </w:p>
    <w:p w14:paraId="49375333" w14:textId="77777777" w:rsidR="00235B2B" w:rsidRPr="002F11F5" w:rsidRDefault="00235B2B" w:rsidP="32959675">
      <w:pPr>
        <w:jc w:val="both"/>
        <w:rPr>
          <w:b/>
          <w:bCs/>
          <w:lang w:val="en-GB"/>
        </w:rPr>
      </w:pPr>
    </w:p>
    <w:p w14:paraId="6A7FAC1C" w14:textId="77777777" w:rsidR="00235B2B" w:rsidRPr="002F11F5" w:rsidRDefault="00CF2F73" w:rsidP="32959675">
      <w:pPr>
        <w:jc w:val="both"/>
        <w:rPr>
          <w:lang w:val="en-GB"/>
        </w:rPr>
      </w:pPr>
      <w:r w:rsidRPr="002F11F5">
        <w:rPr>
          <w:b/>
          <w:bCs/>
          <w:lang w:val="en-GB"/>
        </w:rPr>
        <w:t xml:space="preserve">The Czech </w:t>
      </w:r>
      <w:r w:rsidR="00654CC6" w:rsidRPr="002F11F5">
        <w:rPr>
          <w:b/>
          <w:bCs/>
          <w:lang w:val="en-GB"/>
        </w:rPr>
        <w:t>economy</w:t>
      </w:r>
      <w:r w:rsidRPr="002F11F5">
        <w:rPr>
          <w:b/>
          <w:bCs/>
          <w:lang w:val="en-GB"/>
        </w:rPr>
        <w:t xml:space="preserve"> will return to its pre-</w:t>
      </w:r>
      <w:r w:rsidR="00235B2B" w:rsidRPr="002F11F5">
        <w:rPr>
          <w:b/>
          <w:bCs/>
          <w:lang w:val="en-GB"/>
        </w:rPr>
        <w:t xml:space="preserve">pandemic </w:t>
      </w:r>
      <w:r w:rsidRPr="002F11F5">
        <w:rPr>
          <w:b/>
          <w:bCs/>
          <w:lang w:val="en-GB"/>
        </w:rPr>
        <w:t>level of production this year</w:t>
      </w:r>
      <w:r w:rsidR="00235B2B" w:rsidRPr="002F11F5">
        <w:rPr>
          <w:b/>
          <w:bCs/>
          <w:lang w:val="en-GB"/>
        </w:rPr>
        <w:t xml:space="preserve">. </w:t>
      </w:r>
      <w:r w:rsidRPr="002F11F5">
        <w:rPr>
          <w:bCs/>
          <w:lang w:val="en-GB"/>
        </w:rPr>
        <w:t>While</w:t>
      </w:r>
      <w:r w:rsidRPr="002F11F5">
        <w:rPr>
          <w:b/>
          <w:bCs/>
          <w:lang w:val="en-GB"/>
        </w:rPr>
        <w:t xml:space="preserve"> </w:t>
      </w:r>
      <w:r w:rsidR="00217358" w:rsidRPr="002F11F5">
        <w:rPr>
          <w:lang w:val="en-GB"/>
        </w:rPr>
        <w:t>l</w:t>
      </w:r>
      <w:r w:rsidRPr="002F11F5">
        <w:rPr>
          <w:lang w:val="en-GB"/>
        </w:rPr>
        <w:t xml:space="preserve">ast year’s </w:t>
      </w:r>
      <w:r w:rsidR="00217358" w:rsidRPr="002F11F5">
        <w:rPr>
          <w:lang w:val="en-GB"/>
        </w:rPr>
        <w:t xml:space="preserve">pandemic </w:t>
      </w:r>
      <w:r w:rsidR="00654CC6" w:rsidRPr="002F11F5">
        <w:rPr>
          <w:lang w:val="en-GB"/>
        </w:rPr>
        <w:t>recession</w:t>
      </w:r>
      <w:r w:rsidRPr="002F11F5">
        <w:rPr>
          <w:lang w:val="en-GB"/>
        </w:rPr>
        <w:t xml:space="preserve"> pushed </w:t>
      </w:r>
      <w:r w:rsidR="002B565C">
        <w:rPr>
          <w:lang w:val="en-GB"/>
        </w:rPr>
        <w:t xml:space="preserve">real </w:t>
      </w:r>
      <w:r w:rsidRPr="002F11F5">
        <w:rPr>
          <w:lang w:val="en-GB"/>
        </w:rPr>
        <w:t xml:space="preserve">GDP down by </w:t>
      </w:r>
      <w:r w:rsidR="00217358" w:rsidRPr="002F11F5">
        <w:rPr>
          <w:lang w:val="en-GB"/>
        </w:rPr>
        <w:t>5</w:t>
      </w:r>
      <w:r w:rsidRPr="002F11F5">
        <w:rPr>
          <w:lang w:val="en-GB"/>
        </w:rPr>
        <w:t>.</w:t>
      </w:r>
      <w:r w:rsidR="00217358" w:rsidRPr="002F11F5">
        <w:rPr>
          <w:lang w:val="en-GB"/>
        </w:rPr>
        <w:t xml:space="preserve">8%, </w:t>
      </w:r>
      <w:r w:rsidRPr="002F11F5">
        <w:rPr>
          <w:lang w:val="en-GB"/>
        </w:rPr>
        <w:t xml:space="preserve">for this year we </w:t>
      </w:r>
      <w:r w:rsidR="002F11F5" w:rsidRPr="002F11F5">
        <w:rPr>
          <w:lang w:val="en-GB"/>
        </w:rPr>
        <w:t>estimate</w:t>
      </w:r>
      <w:r w:rsidRPr="002F11F5">
        <w:rPr>
          <w:lang w:val="en-GB"/>
        </w:rPr>
        <w:t xml:space="preserve"> its growth by </w:t>
      </w:r>
      <w:r w:rsidR="00217358" w:rsidRPr="002F11F5">
        <w:rPr>
          <w:lang w:val="en-GB"/>
        </w:rPr>
        <w:t>4</w:t>
      </w:r>
      <w:r w:rsidRPr="002F11F5">
        <w:rPr>
          <w:lang w:val="en-GB"/>
        </w:rPr>
        <w:t>.</w:t>
      </w:r>
      <w:r w:rsidR="00217358" w:rsidRPr="002F11F5">
        <w:rPr>
          <w:lang w:val="en-GB"/>
        </w:rPr>
        <w:t xml:space="preserve">2%. </w:t>
      </w:r>
      <w:r w:rsidRPr="002F11F5">
        <w:rPr>
          <w:lang w:val="en-GB"/>
        </w:rPr>
        <w:t xml:space="preserve">Thus, the growth forecast </w:t>
      </w:r>
      <w:r w:rsidR="002F11F5" w:rsidRPr="002F11F5">
        <w:rPr>
          <w:lang w:val="en-GB"/>
        </w:rPr>
        <w:t>has</w:t>
      </w:r>
      <w:r w:rsidRPr="002F11F5">
        <w:rPr>
          <w:lang w:val="en-GB"/>
        </w:rPr>
        <w:t xml:space="preserve"> been improved </w:t>
      </w:r>
      <w:r w:rsidR="002B565C">
        <w:rPr>
          <w:lang w:val="en-GB"/>
        </w:rPr>
        <w:t>versus</w:t>
      </w:r>
      <w:r w:rsidRPr="002F11F5">
        <w:rPr>
          <w:lang w:val="en-GB"/>
        </w:rPr>
        <w:t xml:space="preserve"> the April one by </w:t>
      </w:r>
      <w:r w:rsidR="00217358" w:rsidRPr="002F11F5">
        <w:rPr>
          <w:lang w:val="en-GB"/>
        </w:rPr>
        <w:t>0</w:t>
      </w:r>
      <w:r w:rsidRPr="002F11F5">
        <w:rPr>
          <w:lang w:val="en-GB"/>
        </w:rPr>
        <w:t>.</w:t>
      </w:r>
      <w:r w:rsidR="00217358" w:rsidRPr="002F11F5">
        <w:rPr>
          <w:lang w:val="en-GB"/>
        </w:rPr>
        <w:t>8 p</w:t>
      </w:r>
      <w:r w:rsidRPr="002F11F5">
        <w:rPr>
          <w:lang w:val="en-GB"/>
        </w:rPr>
        <w:t>p. “</w:t>
      </w:r>
      <w:r w:rsidRPr="002F11F5">
        <w:rPr>
          <w:i/>
          <w:iCs/>
          <w:lang w:val="en-GB"/>
        </w:rPr>
        <w:t>As early as the last quarter of this year, the volume of our production will return to the pre-</w:t>
      </w:r>
      <w:r w:rsidR="00217358" w:rsidRPr="002F11F5">
        <w:rPr>
          <w:i/>
          <w:iCs/>
          <w:lang w:val="en-GB"/>
        </w:rPr>
        <w:t xml:space="preserve">pandemic </w:t>
      </w:r>
      <w:r w:rsidRPr="002F11F5">
        <w:rPr>
          <w:i/>
          <w:iCs/>
          <w:lang w:val="en-GB"/>
        </w:rPr>
        <w:t xml:space="preserve">level, i.e. the end of </w:t>
      </w:r>
      <w:r w:rsidR="00217358" w:rsidRPr="002F11F5">
        <w:rPr>
          <w:i/>
          <w:iCs/>
          <w:lang w:val="en-GB"/>
        </w:rPr>
        <w:t>2019</w:t>
      </w:r>
      <w:r w:rsidR="00217358" w:rsidRPr="002F11F5">
        <w:rPr>
          <w:lang w:val="en-GB"/>
        </w:rPr>
        <w:t>,</w:t>
      </w:r>
      <w:r w:rsidRPr="002F11F5">
        <w:rPr>
          <w:lang w:val="en-GB"/>
        </w:rPr>
        <w:t>”</w:t>
      </w:r>
      <w:r w:rsidR="00217358" w:rsidRPr="002F11F5">
        <w:rPr>
          <w:lang w:val="en-GB"/>
        </w:rPr>
        <w:t xml:space="preserve"> </w:t>
      </w:r>
      <w:r w:rsidRPr="002F11F5">
        <w:rPr>
          <w:lang w:val="en-GB"/>
        </w:rPr>
        <w:t xml:space="preserve">Jan </w:t>
      </w:r>
      <w:proofErr w:type="spellStart"/>
      <w:r w:rsidRPr="002F11F5">
        <w:rPr>
          <w:lang w:val="en-GB"/>
        </w:rPr>
        <w:t>Vejmělek</w:t>
      </w:r>
      <w:proofErr w:type="spellEnd"/>
      <w:r w:rsidRPr="002F11F5">
        <w:rPr>
          <w:lang w:val="en-GB"/>
        </w:rPr>
        <w:t xml:space="preserve">, </w:t>
      </w:r>
      <w:r w:rsidR="00217358" w:rsidRPr="002F11F5">
        <w:rPr>
          <w:lang w:val="en-GB"/>
        </w:rPr>
        <w:t xml:space="preserve">Komerční </w:t>
      </w:r>
      <w:proofErr w:type="spellStart"/>
      <w:r w:rsidR="00217358" w:rsidRPr="002F11F5">
        <w:rPr>
          <w:lang w:val="en-GB"/>
        </w:rPr>
        <w:t>bank</w:t>
      </w:r>
      <w:r w:rsidRPr="002F11F5">
        <w:rPr>
          <w:lang w:val="en-GB"/>
        </w:rPr>
        <w:t>a’s</w:t>
      </w:r>
      <w:proofErr w:type="spellEnd"/>
      <w:r w:rsidRPr="002F11F5">
        <w:rPr>
          <w:lang w:val="en-GB"/>
        </w:rPr>
        <w:t xml:space="preserve"> Chief </w:t>
      </w:r>
      <w:r w:rsidR="002F11F5" w:rsidRPr="002F11F5">
        <w:rPr>
          <w:lang w:val="en-GB"/>
        </w:rPr>
        <w:t>Economist</w:t>
      </w:r>
      <w:r w:rsidRPr="002F11F5">
        <w:rPr>
          <w:lang w:val="en-GB"/>
        </w:rPr>
        <w:t xml:space="preserve">, comments on the bank’s new forecast, which envisages </w:t>
      </w:r>
      <w:r w:rsidR="002B565C">
        <w:rPr>
          <w:lang w:val="en-GB"/>
        </w:rPr>
        <w:t xml:space="preserve">an </w:t>
      </w:r>
      <w:r w:rsidRPr="002F11F5">
        <w:rPr>
          <w:lang w:val="en-GB"/>
        </w:rPr>
        <w:t xml:space="preserve">economic growth </w:t>
      </w:r>
      <w:r w:rsidR="002B565C">
        <w:rPr>
          <w:lang w:val="en-GB"/>
        </w:rPr>
        <w:t>of</w:t>
      </w:r>
      <w:r w:rsidRPr="002F11F5">
        <w:rPr>
          <w:lang w:val="en-GB"/>
        </w:rPr>
        <w:t xml:space="preserve"> a strong </w:t>
      </w:r>
      <w:r w:rsidR="0069488C" w:rsidRPr="002F11F5">
        <w:rPr>
          <w:lang w:val="en-GB"/>
        </w:rPr>
        <w:t>5</w:t>
      </w:r>
      <w:r w:rsidRPr="002F11F5">
        <w:rPr>
          <w:lang w:val="en-GB"/>
        </w:rPr>
        <w:t>.</w:t>
      </w:r>
      <w:r w:rsidR="0069488C" w:rsidRPr="002F11F5">
        <w:rPr>
          <w:lang w:val="en-GB"/>
        </w:rPr>
        <w:t>3%</w:t>
      </w:r>
      <w:r w:rsidRPr="002F11F5">
        <w:rPr>
          <w:lang w:val="en-GB"/>
        </w:rPr>
        <w:t xml:space="preserve"> for 2022</w:t>
      </w:r>
      <w:r w:rsidR="0069488C" w:rsidRPr="002F11F5">
        <w:rPr>
          <w:lang w:val="en-GB"/>
        </w:rPr>
        <w:t>.</w:t>
      </w:r>
      <w:r w:rsidRPr="002F11F5">
        <w:rPr>
          <w:lang w:val="en-GB"/>
        </w:rPr>
        <w:t xml:space="preserve"> </w:t>
      </w:r>
    </w:p>
    <w:p w14:paraId="3EFA8D2E" w14:textId="77777777" w:rsidR="00B1508B" w:rsidRPr="002F11F5" w:rsidRDefault="00B1508B" w:rsidP="32959675">
      <w:pPr>
        <w:jc w:val="both"/>
        <w:rPr>
          <w:lang w:val="en-GB"/>
        </w:rPr>
      </w:pPr>
    </w:p>
    <w:p w14:paraId="2D0703D7" w14:textId="77777777" w:rsidR="0069488C" w:rsidRPr="002F11F5" w:rsidRDefault="00E4205E" w:rsidP="32959675">
      <w:pPr>
        <w:jc w:val="both"/>
        <w:rPr>
          <w:lang w:val="en-GB"/>
        </w:rPr>
      </w:pPr>
      <w:r w:rsidRPr="002F11F5">
        <w:rPr>
          <w:b/>
          <w:bCs/>
          <w:lang w:val="en-GB"/>
        </w:rPr>
        <w:t xml:space="preserve">The quick recovery of </w:t>
      </w:r>
      <w:r w:rsidR="002B565C">
        <w:rPr>
          <w:b/>
          <w:bCs/>
          <w:lang w:val="en-GB"/>
        </w:rPr>
        <w:t xml:space="preserve">the </w:t>
      </w:r>
      <w:r w:rsidR="002F11F5" w:rsidRPr="002F11F5">
        <w:rPr>
          <w:b/>
          <w:bCs/>
          <w:lang w:val="en-GB"/>
        </w:rPr>
        <w:t>global</w:t>
      </w:r>
      <w:r w:rsidR="002B565C">
        <w:rPr>
          <w:b/>
          <w:bCs/>
          <w:lang w:val="en-GB"/>
        </w:rPr>
        <w:t xml:space="preserve">, including </w:t>
      </w:r>
      <w:r w:rsidRPr="002F11F5">
        <w:rPr>
          <w:b/>
          <w:bCs/>
          <w:lang w:val="en-GB"/>
        </w:rPr>
        <w:t xml:space="preserve">the Czech </w:t>
      </w:r>
      <w:r w:rsidR="002F11F5" w:rsidRPr="002F11F5">
        <w:rPr>
          <w:b/>
          <w:bCs/>
          <w:lang w:val="en-GB"/>
        </w:rPr>
        <w:t>economy</w:t>
      </w:r>
      <w:r w:rsidR="0069488C" w:rsidRPr="002F11F5">
        <w:rPr>
          <w:b/>
          <w:bCs/>
          <w:lang w:val="en-GB"/>
        </w:rPr>
        <w:t xml:space="preserve"> </w:t>
      </w:r>
      <w:r w:rsidRPr="002F11F5">
        <w:rPr>
          <w:b/>
          <w:bCs/>
          <w:lang w:val="en-GB"/>
        </w:rPr>
        <w:t xml:space="preserve">is being </w:t>
      </w:r>
      <w:r w:rsidR="002F11F5" w:rsidRPr="002F11F5">
        <w:rPr>
          <w:b/>
          <w:bCs/>
          <w:lang w:val="en-GB"/>
        </w:rPr>
        <w:t>impeded</w:t>
      </w:r>
      <w:r w:rsidRPr="002F11F5">
        <w:rPr>
          <w:b/>
          <w:bCs/>
          <w:lang w:val="en-GB"/>
        </w:rPr>
        <w:t xml:space="preserve"> by </w:t>
      </w:r>
      <w:r w:rsidR="0069488C" w:rsidRPr="002F11F5">
        <w:rPr>
          <w:b/>
          <w:bCs/>
          <w:lang w:val="en-GB"/>
        </w:rPr>
        <w:t>limit</w:t>
      </w:r>
      <w:r w:rsidRPr="002F11F5">
        <w:rPr>
          <w:b/>
          <w:bCs/>
          <w:lang w:val="en-GB"/>
        </w:rPr>
        <w:t>s:</w:t>
      </w:r>
      <w:r w:rsidR="0069488C" w:rsidRPr="002F11F5">
        <w:rPr>
          <w:b/>
          <w:bCs/>
          <w:lang w:val="en-GB"/>
        </w:rPr>
        <w:t xml:space="preserve"> </w:t>
      </w:r>
      <w:r w:rsidR="002F11F5" w:rsidRPr="002F11F5">
        <w:rPr>
          <w:b/>
          <w:bCs/>
          <w:lang w:val="en-GB"/>
        </w:rPr>
        <w:t>shortage</w:t>
      </w:r>
      <w:r w:rsidR="002B565C">
        <w:rPr>
          <w:b/>
          <w:bCs/>
          <w:lang w:val="en-GB"/>
        </w:rPr>
        <w:t>s</w:t>
      </w:r>
      <w:r w:rsidRPr="002F11F5">
        <w:rPr>
          <w:b/>
          <w:bCs/>
          <w:lang w:val="en-GB"/>
        </w:rPr>
        <w:t xml:space="preserve"> of input </w:t>
      </w:r>
      <w:r w:rsidR="002F11F5" w:rsidRPr="002F11F5">
        <w:rPr>
          <w:b/>
          <w:bCs/>
          <w:lang w:val="en-GB"/>
        </w:rPr>
        <w:t>components</w:t>
      </w:r>
      <w:r w:rsidRPr="002F11F5">
        <w:rPr>
          <w:b/>
          <w:bCs/>
          <w:lang w:val="en-GB"/>
        </w:rPr>
        <w:t xml:space="preserve"> for </w:t>
      </w:r>
      <w:r w:rsidR="002F11F5" w:rsidRPr="002F11F5">
        <w:rPr>
          <w:b/>
          <w:bCs/>
          <w:lang w:val="en-GB"/>
        </w:rPr>
        <w:t>production</w:t>
      </w:r>
      <w:r w:rsidRPr="002F11F5">
        <w:rPr>
          <w:b/>
          <w:bCs/>
          <w:lang w:val="en-GB"/>
        </w:rPr>
        <w:t xml:space="preserve"> and workforce</w:t>
      </w:r>
      <w:r w:rsidR="0069488C" w:rsidRPr="002F11F5">
        <w:rPr>
          <w:b/>
          <w:bCs/>
          <w:lang w:val="en-GB"/>
        </w:rPr>
        <w:t>.</w:t>
      </w:r>
      <w:r w:rsidR="0069488C" w:rsidRPr="002F11F5">
        <w:rPr>
          <w:lang w:val="en-GB"/>
        </w:rPr>
        <w:t xml:space="preserve"> </w:t>
      </w:r>
      <w:r w:rsidRPr="002F11F5">
        <w:rPr>
          <w:lang w:val="en-GB"/>
        </w:rPr>
        <w:t xml:space="preserve">Rather </w:t>
      </w:r>
      <w:r w:rsidR="002F11F5" w:rsidRPr="002F11F5">
        <w:rPr>
          <w:lang w:val="en-GB"/>
        </w:rPr>
        <w:t>unusually</w:t>
      </w:r>
      <w:r w:rsidRPr="002F11F5">
        <w:rPr>
          <w:lang w:val="en-GB"/>
        </w:rPr>
        <w:t xml:space="preserve">, this year the </w:t>
      </w:r>
      <w:r w:rsidR="002F11F5" w:rsidRPr="002F11F5">
        <w:rPr>
          <w:lang w:val="en-GB"/>
        </w:rPr>
        <w:t>components</w:t>
      </w:r>
      <w:r w:rsidRPr="002F11F5">
        <w:rPr>
          <w:lang w:val="en-GB"/>
        </w:rPr>
        <w:t xml:space="preserve"> missing in production will contribute to a strong growth of inventories</w:t>
      </w:r>
      <w:r w:rsidR="00CF0AF6" w:rsidRPr="002F11F5">
        <w:rPr>
          <w:lang w:val="en-GB"/>
        </w:rPr>
        <w:t xml:space="preserve"> </w:t>
      </w:r>
      <w:r w:rsidRPr="002F11F5">
        <w:rPr>
          <w:lang w:val="en-GB"/>
        </w:rPr>
        <w:t xml:space="preserve">because of the large share of </w:t>
      </w:r>
      <w:r w:rsidR="002F11F5" w:rsidRPr="002F11F5">
        <w:rPr>
          <w:lang w:val="en-GB"/>
        </w:rPr>
        <w:t>production</w:t>
      </w:r>
      <w:r w:rsidRPr="002F11F5">
        <w:rPr>
          <w:lang w:val="en-GB"/>
        </w:rPr>
        <w:t xml:space="preserve"> in progress, and will thus become the driver of the </w:t>
      </w:r>
      <w:r w:rsidR="002F11F5" w:rsidRPr="002F11F5">
        <w:rPr>
          <w:lang w:val="en-GB"/>
        </w:rPr>
        <w:t>economy</w:t>
      </w:r>
      <w:r w:rsidR="00525D94" w:rsidRPr="002F11F5">
        <w:rPr>
          <w:lang w:val="en-GB"/>
        </w:rPr>
        <w:t xml:space="preserve">. </w:t>
      </w:r>
      <w:r w:rsidRPr="002F11F5">
        <w:rPr>
          <w:lang w:val="en-GB"/>
        </w:rPr>
        <w:t>I</w:t>
      </w:r>
      <w:r w:rsidR="00525D94" w:rsidRPr="002F11F5">
        <w:rPr>
          <w:lang w:val="en-GB"/>
        </w:rPr>
        <w:t>nvest</w:t>
      </w:r>
      <w:r w:rsidRPr="002F11F5">
        <w:rPr>
          <w:lang w:val="en-GB"/>
        </w:rPr>
        <w:t xml:space="preserve">ments supported by finances from </w:t>
      </w:r>
      <w:r w:rsidR="002B565C">
        <w:rPr>
          <w:lang w:val="en-GB"/>
        </w:rPr>
        <w:t xml:space="preserve">the </w:t>
      </w:r>
      <w:r w:rsidRPr="002F11F5">
        <w:rPr>
          <w:lang w:val="en-GB"/>
        </w:rPr>
        <w:t xml:space="preserve">EU funds or the National Recovery Fund will gradually </w:t>
      </w:r>
      <w:r w:rsidR="002B565C">
        <w:rPr>
          <w:lang w:val="en-GB"/>
        </w:rPr>
        <w:t>team up with</w:t>
      </w:r>
      <w:r w:rsidRPr="002F11F5">
        <w:rPr>
          <w:lang w:val="en-GB"/>
        </w:rPr>
        <w:t xml:space="preserve"> inventories. Green investments will play a major role. The p</w:t>
      </w:r>
      <w:r w:rsidR="002F2407" w:rsidRPr="002F11F5">
        <w:rPr>
          <w:lang w:val="en-GB"/>
        </w:rPr>
        <w:t xml:space="preserve">andemic </w:t>
      </w:r>
      <w:r w:rsidR="002F11F5" w:rsidRPr="002F11F5">
        <w:rPr>
          <w:lang w:val="en-GB"/>
        </w:rPr>
        <w:t>recession</w:t>
      </w:r>
      <w:r w:rsidRPr="002F11F5">
        <w:rPr>
          <w:lang w:val="en-GB"/>
        </w:rPr>
        <w:t xml:space="preserve"> </w:t>
      </w:r>
      <w:r w:rsidR="002B565C">
        <w:rPr>
          <w:lang w:val="en-GB"/>
        </w:rPr>
        <w:t xml:space="preserve">has </w:t>
      </w:r>
      <w:r w:rsidRPr="002F11F5">
        <w:rPr>
          <w:lang w:val="en-GB"/>
        </w:rPr>
        <w:t xml:space="preserve">resulted in a </w:t>
      </w:r>
      <w:r w:rsidR="006F0728" w:rsidRPr="002F11F5">
        <w:rPr>
          <w:lang w:val="en-GB"/>
        </w:rPr>
        <w:t>relativ</w:t>
      </w:r>
      <w:r w:rsidRPr="002F11F5">
        <w:rPr>
          <w:lang w:val="en-GB"/>
        </w:rPr>
        <w:t xml:space="preserve">ely small increase in unemployment and so we can rely on households’ strong consumption as the </w:t>
      </w:r>
      <w:r w:rsidR="002F11F5" w:rsidRPr="002F11F5">
        <w:rPr>
          <w:lang w:val="en-GB"/>
        </w:rPr>
        <w:t>economy</w:t>
      </w:r>
      <w:r w:rsidR="002F2407" w:rsidRPr="002F11F5">
        <w:rPr>
          <w:lang w:val="en-GB"/>
        </w:rPr>
        <w:t xml:space="preserve"> </w:t>
      </w:r>
      <w:r w:rsidRPr="002F11F5">
        <w:rPr>
          <w:lang w:val="en-GB"/>
        </w:rPr>
        <w:t>opens</w:t>
      </w:r>
      <w:r w:rsidR="002F2407" w:rsidRPr="002F11F5">
        <w:rPr>
          <w:lang w:val="en-GB"/>
        </w:rPr>
        <w:t xml:space="preserve">. </w:t>
      </w:r>
      <w:r w:rsidR="003B6A2B" w:rsidRPr="002F11F5">
        <w:rPr>
          <w:lang w:val="en-GB"/>
        </w:rPr>
        <w:t>“</w:t>
      </w:r>
      <w:r w:rsidR="002F2407" w:rsidRPr="002F11F5">
        <w:rPr>
          <w:i/>
          <w:iCs/>
          <w:lang w:val="en-GB"/>
        </w:rPr>
        <w:t>T</w:t>
      </w:r>
      <w:r w:rsidR="003B6A2B" w:rsidRPr="002F11F5">
        <w:rPr>
          <w:i/>
          <w:iCs/>
          <w:lang w:val="en-GB"/>
        </w:rPr>
        <w:t xml:space="preserve">he labour market clearly shows signs of </w:t>
      </w:r>
      <w:r w:rsidR="002F11F5" w:rsidRPr="002F11F5">
        <w:rPr>
          <w:i/>
          <w:iCs/>
          <w:lang w:val="en-GB"/>
        </w:rPr>
        <w:t>stabilisation</w:t>
      </w:r>
      <w:r w:rsidR="002F2407" w:rsidRPr="002F11F5">
        <w:rPr>
          <w:i/>
          <w:iCs/>
          <w:lang w:val="en-GB"/>
        </w:rPr>
        <w:t xml:space="preserve">. </w:t>
      </w:r>
      <w:r w:rsidR="003B6A2B" w:rsidRPr="002F11F5">
        <w:rPr>
          <w:i/>
          <w:iCs/>
          <w:lang w:val="en-GB"/>
        </w:rPr>
        <w:t>We believe that the rate of unemployment has peaked and that it may even decline slightly next year,</w:t>
      </w:r>
      <w:r w:rsidR="003B6A2B" w:rsidRPr="002F11F5">
        <w:rPr>
          <w:iCs/>
          <w:lang w:val="en-GB"/>
        </w:rPr>
        <w:t>”</w:t>
      </w:r>
      <w:r w:rsidR="002F2407" w:rsidRPr="002F11F5">
        <w:rPr>
          <w:lang w:val="en-GB"/>
        </w:rPr>
        <w:t xml:space="preserve"> </w:t>
      </w:r>
      <w:r w:rsidR="003B6A2B" w:rsidRPr="002F11F5">
        <w:rPr>
          <w:lang w:val="en-GB"/>
        </w:rPr>
        <w:t xml:space="preserve">Michal </w:t>
      </w:r>
      <w:proofErr w:type="spellStart"/>
      <w:r w:rsidR="003B6A2B" w:rsidRPr="002F11F5">
        <w:rPr>
          <w:lang w:val="en-GB"/>
        </w:rPr>
        <w:t>Brožka</w:t>
      </w:r>
      <w:proofErr w:type="spellEnd"/>
      <w:r w:rsidR="003B6A2B" w:rsidRPr="002F11F5">
        <w:rPr>
          <w:lang w:val="en-GB"/>
        </w:rPr>
        <w:t xml:space="preserve">, </w:t>
      </w:r>
      <w:r w:rsidR="002F2407" w:rsidRPr="002F11F5">
        <w:rPr>
          <w:lang w:val="en-GB"/>
        </w:rPr>
        <w:t xml:space="preserve">Komerční </w:t>
      </w:r>
      <w:proofErr w:type="spellStart"/>
      <w:r w:rsidR="002F2407" w:rsidRPr="002F11F5">
        <w:rPr>
          <w:lang w:val="en-GB"/>
        </w:rPr>
        <w:t>bank</w:t>
      </w:r>
      <w:r w:rsidR="003B6A2B" w:rsidRPr="002F11F5">
        <w:rPr>
          <w:lang w:val="en-GB"/>
        </w:rPr>
        <w:t>a’s</w:t>
      </w:r>
      <w:proofErr w:type="spellEnd"/>
      <w:r w:rsidR="003B6A2B" w:rsidRPr="002F11F5">
        <w:rPr>
          <w:lang w:val="en-GB"/>
        </w:rPr>
        <w:t xml:space="preserve"> economist, </w:t>
      </w:r>
      <w:r w:rsidR="002B565C">
        <w:rPr>
          <w:lang w:val="en-GB"/>
        </w:rPr>
        <w:t>clarifies</w:t>
      </w:r>
      <w:r w:rsidR="003B6A2B" w:rsidRPr="002F11F5">
        <w:rPr>
          <w:lang w:val="en-GB"/>
        </w:rPr>
        <w:t xml:space="preserve"> the </w:t>
      </w:r>
      <w:r w:rsidR="002F11F5" w:rsidRPr="002F11F5">
        <w:rPr>
          <w:lang w:val="en-GB"/>
        </w:rPr>
        <w:t>situation</w:t>
      </w:r>
      <w:r w:rsidR="003B6A2B" w:rsidRPr="002F11F5">
        <w:rPr>
          <w:lang w:val="en-GB"/>
        </w:rPr>
        <w:t xml:space="preserve"> in the labour market.</w:t>
      </w:r>
      <w:r w:rsidR="002F2407" w:rsidRPr="002F11F5">
        <w:rPr>
          <w:lang w:val="en-GB"/>
        </w:rPr>
        <w:t xml:space="preserve"> </w:t>
      </w:r>
    </w:p>
    <w:p w14:paraId="012B18B0" w14:textId="77777777" w:rsidR="0069488C" w:rsidRPr="002F11F5" w:rsidRDefault="0069488C" w:rsidP="32959675">
      <w:pPr>
        <w:jc w:val="both"/>
        <w:rPr>
          <w:lang w:val="en-GB"/>
        </w:rPr>
      </w:pPr>
    </w:p>
    <w:p w14:paraId="6D5ED9A6" w14:textId="77777777" w:rsidR="00CF304B" w:rsidRPr="002F11F5" w:rsidRDefault="00CF304B" w:rsidP="32959675">
      <w:pPr>
        <w:jc w:val="both"/>
        <w:rPr>
          <w:lang w:val="en-GB"/>
        </w:rPr>
      </w:pPr>
      <w:r w:rsidRPr="002F11F5">
        <w:rPr>
          <w:b/>
          <w:bCs/>
          <w:lang w:val="en-GB"/>
        </w:rPr>
        <w:t>Infla</w:t>
      </w:r>
      <w:r w:rsidR="0029294E" w:rsidRPr="002F11F5">
        <w:rPr>
          <w:b/>
          <w:bCs/>
          <w:lang w:val="en-GB"/>
        </w:rPr>
        <w:t>tion has been hovering above the central bank’s 2% target for more than two years</w:t>
      </w:r>
      <w:r w:rsidRPr="002F11F5">
        <w:rPr>
          <w:b/>
          <w:bCs/>
          <w:lang w:val="en-GB"/>
        </w:rPr>
        <w:t>.</w:t>
      </w:r>
      <w:r w:rsidRPr="002F11F5">
        <w:rPr>
          <w:lang w:val="en-GB"/>
        </w:rPr>
        <w:t xml:space="preserve"> </w:t>
      </w:r>
      <w:r w:rsidR="0029294E" w:rsidRPr="002F11F5">
        <w:rPr>
          <w:lang w:val="en-GB"/>
        </w:rPr>
        <w:t>“</w:t>
      </w:r>
      <w:r w:rsidRPr="002F11F5">
        <w:rPr>
          <w:i/>
          <w:iCs/>
          <w:lang w:val="en-GB"/>
        </w:rPr>
        <w:t>Infla</w:t>
      </w:r>
      <w:r w:rsidR="0029294E" w:rsidRPr="002F11F5">
        <w:rPr>
          <w:i/>
          <w:iCs/>
          <w:lang w:val="en-GB"/>
        </w:rPr>
        <w:t xml:space="preserve">tion does not yet appear to be willing to slow down; in the new </w:t>
      </w:r>
      <w:r w:rsidR="002F11F5" w:rsidRPr="002F11F5">
        <w:rPr>
          <w:i/>
          <w:iCs/>
          <w:lang w:val="en-GB"/>
        </w:rPr>
        <w:t>forecast</w:t>
      </w:r>
      <w:r w:rsidR="0029294E" w:rsidRPr="002F11F5">
        <w:rPr>
          <w:i/>
          <w:iCs/>
          <w:lang w:val="en-GB"/>
        </w:rPr>
        <w:t xml:space="preserve">, we have raised it to </w:t>
      </w:r>
      <w:r w:rsidRPr="002F11F5">
        <w:rPr>
          <w:i/>
          <w:iCs/>
          <w:lang w:val="en-GB"/>
        </w:rPr>
        <w:t>2</w:t>
      </w:r>
      <w:r w:rsidR="0029294E" w:rsidRPr="002F11F5">
        <w:rPr>
          <w:i/>
          <w:iCs/>
          <w:lang w:val="en-GB"/>
        </w:rPr>
        <w:t>.</w:t>
      </w:r>
      <w:r w:rsidRPr="002F11F5">
        <w:rPr>
          <w:i/>
          <w:iCs/>
          <w:lang w:val="en-GB"/>
        </w:rPr>
        <w:t xml:space="preserve">8%, </w:t>
      </w:r>
      <w:r w:rsidR="0029294E" w:rsidRPr="002F11F5">
        <w:rPr>
          <w:i/>
          <w:iCs/>
          <w:lang w:val="en-GB"/>
        </w:rPr>
        <w:t xml:space="preserve">and expect it at </w:t>
      </w:r>
      <w:r w:rsidRPr="002F11F5">
        <w:rPr>
          <w:i/>
          <w:iCs/>
          <w:lang w:val="en-GB"/>
        </w:rPr>
        <w:t>2</w:t>
      </w:r>
      <w:r w:rsidR="0029294E" w:rsidRPr="002F11F5">
        <w:rPr>
          <w:i/>
          <w:iCs/>
          <w:lang w:val="en-GB"/>
        </w:rPr>
        <w:t>.</w:t>
      </w:r>
      <w:r w:rsidRPr="002F11F5">
        <w:rPr>
          <w:i/>
          <w:iCs/>
          <w:lang w:val="en-GB"/>
        </w:rPr>
        <w:t>4%</w:t>
      </w:r>
      <w:r w:rsidR="0029294E" w:rsidRPr="002F11F5">
        <w:rPr>
          <w:i/>
          <w:iCs/>
          <w:lang w:val="en-GB"/>
        </w:rPr>
        <w:t xml:space="preserve"> next year</w:t>
      </w:r>
      <w:r w:rsidRPr="002F11F5">
        <w:rPr>
          <w:lang w:val="en-GB"/>
        </w:rPr>
        <w:t>,</w:t>
      </w:r>
      <w:r w:rsidR="0029294E" w:rsidRPr="002F11F5">
        <w:rPr>
          <w:lang w:val="en-GB"/>
        </w:rPr>
        <w:t>”</w:t>
      </w:r>
      <w:r w:rsidRPr="002F11F5">
        <w:rPr>
          <w:lang w:val="en-GB"/>
        </w:rPr>
        <w:t xml:space="preserve"> </w:t>
      </w:r>
      <w:r w:rsidR="0029294E" w:rsidRPr="002F11F5">
        <w:rPr>
          <w:lang w:val="en-GB"/>
        </w:rPr>
        <w:t>clarifies</w:t>
      </w:r>
      <w:r w:rsidRPr="002F11F5">
        <w:rPr>
          <w:lang w:val="en-GB"/>
        </w:rPr>
        <w:t xml:space="preserve"> Michal </w:t>
      </w:r>
      <w:proofErr w:type="spellStart"/>
      <w:r w:rsidRPr="002F11F5">
        <w:rPr>
          <w:lang w:val="en-GB"/>
        </w:rPr>
        <w:t>Brožka</w:t>
      </w:r>
      <w:proofErr w:type="spellEnd"/>
      <w:r w:rsidRPr="002F11F5">
        <w:rPr>
          <w:lang w:val="en-GB"/>
        </w:rPr>
        <w:t xml:space="preserve">. </w:t>
      </w:r>
      <w:r w:rsidR="0029294E" w:rsidRPr="002F11F5">
        <w:rPr>
          <w:lang w:val="en-GB"/>
        </w:rPr>
        <w:t xml:space="preserve">In </w:t>
      </w:r>
      <w:r w:rsidR="002F11F5" w:rsidRPr="002F11F5">
        <w:rPr>
          <w:lang w:val="en-GB"/>
        </w:rPr>
        <w:t>addition</w:t>
      </w:r>
      <w:r w:rsidR="002B565C">
        <w:rPr>
          <w:lang w:val="en-GB"/>
        </w:rPr>
        <w:t>,</w:t>
      </w:r>
      <w:r w:rsidR="0029294E" w:rsidRPr="002F11F5">
        <w:rPr>
          <w:lang w:val="en-GB"/>
        </w:rPr>
        <w:t xml:space="preserve"> the current </w:t>
      </w:r>
      <w:r w:rsidR="002F11F5" w:rsidRPr="002F11F5">
        <w:rPr>
          <w:lang w:val="en-GB"/>
        </w:rPr>
        <w:t>economic</w:t>
      </w:r>
      <w:r w:rsidRPr="002F11F5">
        <w:rPr>
          <w:lang w:val="en-GB"/>
        </w:rPr>
        <w:t xml:space="preserve"> </w:t>
      </w:r>
      <w:r w:rsidR="002F11F5" w:rsidRPr="002F11F5">
        <w:rPr>
          <w:lang w:val="en-GB"/>
        </w:rPr>
        <w:t>development</w:t>
      </w:r>
      <w:r w:rsidR="0029294E" w:rsidRPr="002F11F5">
        <w:rPr>
          <w:lang w:val="en-GB"/>
        </w:rPr>
        <w:t xml:space="preserve"> is associated with a number of </w:t>
      </w:r>
      <w:r w:rsidR="002F11F5" w:rsidRPr="002F11F5">
        <w:rPr>
          <w:lang w:val="en-GB"/>
        </w:rPr>
        <w:t>inflationary</w:t>
      </w:r>
      <w:r w:rsidR="0029294E" w:rsidRPr="002F11F5">
        <w:rPr>
          <w:lang w:val="en-GB"/>
        </w:rPr>
        <w:t xml:space="preserve"> risks. </w:t>
      </w:r>
      <w:r w:rsidRPr="002F11F5">
        <w:rPr>
          <w:lang w:val="en-GB"/>
        </w:rPr>
        <w:t>T</w:t>
      </w:r>
      <w:r w:rsidR="0029294E" w:rsidRPr="002F11F5">
        <w:rPr>
          <w:lang w:val="en-GB"/>
        </w:rPr>
        <w:t xml:space="preserve">his may have an adverse effect on inflation </w:t>
      </w:r>
      <w:r w:rsidR="002F11F5" w:rsidRPr="002F11F5">
        <w:rPr>
          <w:lang w:val="en-GB"/>
        </w:rPr>
        <w:t>expectations</w:t>
      </w:r>
      <w:r w:rsidR="0029294E" w:rsidRPr="002F11F5">
        <w:rPr>
          <w:lang w:val="en-GB"/>
        </w:rPr>
        <w:t xml:space="preserve">, of which also the </w:t>
      </w:r>
      <w:r w:rsidR="002F11F5" w:rsidRPr="002F11F5">
        <w:rPr>
          <w:lang w:val="en-GB"/>
        </w:rPr>
        <w:t>central</w:t>
      </w:r>
      <w:r w:rsidRPr="002F11F5">
        <w:rPr>
          <w:lang w:val="en-GB"/>
        </w:rPr>
        <w:t xml:space="preserve"> bank</w:t>
      </w:r>
      <w:r w:rsidR="0029294E" w:rsidRPr="002F11F5">
        <w:rPr>
          <w:lang w:val="en-GB"/>
        </w:rPr>
        <w:t xml:space="preserve">ers are aware and are </w:t>
      </w:r>
      <w:r w:rsidR="002B565C">
        <w:rPr>
          <w:lang w:val="en-GB"/>
        </w:rPr>
        <w:t xml:space="preserve">thus </w:t>
      </w:r>
      <w:r w:rsidR="0029294E" w:rsidRPr="002F11F5">
        <w:rPr>
          <w:lang w:val="en-GB"/>
        </w:rPr>
        <w:t xml:space="preserve">determined to return rates back to the normal levels. The rapidly recovering economy and the expanding proportion of vaccinated population </w:t>
      </w:r>
      <w:r w:rsidR="002F11F5" w:rsidRPr="002F11F5">
        <w:rPr>
          <w:lang w:val="en-GB"/>
        </w:rPr>
        <w:t>are</w:t>
      </w:r>
      <w:r w:rsidR="0029294E" w:rsidRPr="002F11F5">
        <w:rPr>
          <w:lang w:val="en-GB"/>
        </w:rPr>
        <w:t xml:space="preserve"> making decisions easier for them</w:t>
      </w:r>
      <w:r w:rsidRPr="002F11F5">
        <w:rPr>
          <w:lang w:val="en-GB"/>
        </w:rPr>
        <w:t xml:space="preserve">. </w:t>
      </w:r>
      <w:r w:rsidR="0029294E" w:rsidRPr="002F11F5">
        <w:rPr>
          <w:lang w:val="en-GB"/>
        </w:rPr>
        <w:lastRenderedPageBreak/>
        <w:t>“</w:t>
      </w:r>
      <w:r w:rsidR="0029294E" w:rsidRPr="002F11F5">
        <w:rPr>
          <w:i/>
          <w:iCs/>
          <w:lang w:val="en-GB"/>
        </w:rPr>
        <w:t xml:space="preserve">Thus, following the June rate hike </w:t>
      </w:r>
      <w:r w:rsidR="002B565C">
        <w:rPr>
          <w:i/>
          <w:iCs/>
          <w:lang w:val="en-GB"/>
        </w:rPr>
        <w:t>of</w:t>
      </w:r>
      <w:r w:rsidR="0029294E" w:rsidRPr="002F11F5">
        <w:rPr>
          <w:i/>
          <w:iCs/>
          <w:lang w:val="en-GB"/>
        </w:rPr>
        <w:t xml:space="preserve"> 0.25 pp, for the rest of the year we expect another three such hikes, in August, September, and November,</w:t>
      </w:r>
      <w:r w:rsidR="0029294E" w:rsidRPr="002F11F5">
        <w:rPr>
          <w:lang w:val="en-GB"/>
        </w:rPr>
        <w:t>”</w:t>
      </w:r>
      <w:r w:rsidRPr="002F11F5">
        <w:rPr>
          <w:lang w:val="en-GB"/>
        </w:rPr>
        <w:t xml:space="preserve"> Martin Gürtler, Komerční </w:t>
      </w:r>
      <w:proofErr w:type="spellStart"/>
      <w:r w:rsidRPr="002F11F5">
        <w:rPr>
          <w:lang w:val="en-GB"/>
        </w:rPr>
        <w:t>bank</w:t>
      </w:r>
      <w:r w:rsidR="0029294E" w:rsidRPr="002F11F5">
        <w:rPr>
          <w:lang w:val="en-GB"/>
        </w:rPr>
        <w:t>a’s</w:t>
      </w:r>
      <w:proofErr w:type="spellEnd"/>
      <w:r w:rsidR="0029294E" w:rsidRPr="002F11F5">
        <w:rPr>
          <w:lang w:val="en-GB"/>
        </w:rPr>
        <w:t xml:space="preserve"> economist, reveals the CNB’s expected steps, adding:</w:t>
      </w:r>
      <w:r w:rsidRPr="002F11F5">
        <w:rPr>
          <w:lang w:val="en-GB"/>
        </w:rPr>
        <w:t xml:space="preserve"> </w:t>
      </w:r>
      <w:r w:rsidR="0029294E" w:rsidRPr="002F11F5">
        <w:rPr>
          <w:lang w:val="en-GB"/>
        </w:rPr>
        <w:t>“</w:t>
      </w:r>
      <w:r w:rsidR="00EA0B3E" w:rsidRPr="002F11F5">
        <w:rPr>
          <w:i/>
          <w:iCs/>
          <w:lang w:val="en-GB"/>
        </w:rPr>
        <w:t xml:space="preserve">Nevertheless, nor can a 0.5 pp </w:t>
      </w:r>
      <w:r w:rsidR="002B565C">
        <w:rPr>
          <w:i/>
          <w:iCs/>
          <w:lang w:val="en-GB"/>
        </w:rPr>
        <w:t xml:space="preserve">hike </w:t>
      </w:r>
      <w:r w:rsidR="00EA0B3E" w:rsidRPr="002F11F5">
        <w:rPr>
          <w:i/>
          <w:iCs/>
          <w:lang w:val="en-GB"/>
        </w:rPr>
        <w:t xml:space="preserve">be ruled out, </w:t>
      </w:r>
      <w:r w:rsidR="002B565C">
        <w:rPr>
          <w:i/>
          <w:iCs/>
          <w:lang w:val="en-GB"/>
        </w:rPr>
        <w:t xml:space="preserve">especially </w:t>
      </w:r>
      <w:r w:rsidR="00EA0B3E" w:rsidRPr="002F11F5">
        <w:rPr>
          <w:i/>
          <w:iCs/>
          <w:lang w:val="en-GB"/>
        </w:rPr>
        <w:t>at the August Board meeting.</w:t>
      </w:r>
      <w:r w:rsidR="00EA0B3E" w:rsidRPr="002F11F5">
        <w:rPr>
          <w:lang w:val="en-GB"/>
        </w:rPr>
        <w:t>”</w:t>
      </w:r>
      <w:r w:rsidR="002B565C">
        <w:rPr>
          <w:lang w:val="en-GB"/>
        </w:rPr>
        <w:t xml:space="preserve"> </w:t>
      </w:r>
    </w:p>
    <w:p w14:paraId="6AD09A9B" w14:textId="77777777" w:rsidR="00B1508B" w:rsidRPr="002F11F5" w:rsidRDefault="00B1508B" w:rsidP="32959675">
      <w:pPr>
        <w:jc w:val="both"/>
        <w:rPr>
          <w:lang w:val="en-GB"/>
        </w:rPr>
      </w:pPr>
    </w:p>
    <w:p w14:paraId="5FC827DD" w14:textId="77777777" w:rsidR="00B1508B" w:rsidRPr="002F11F5" w:rsidRDefault="00EA0B3E" w:rsidP="32959675">
      <w:pPr>
        <w:jc w:val="both"/>
        <w:rPr>
          <w:lang w:val="en-GB"/>
        </w:rPr>
      </w:pPr>
      <w:r w:rsidRPr="002F11F5">
        <w:rPr>
          <w:b/>
          <w:bCs/>
          <w:lang w:val="en-GB"/>
        </w:rPr>
        <w:t xml:space="preserve">The wheel </w:t>
      </w:r>
      <w:r w:rsidR="002F11F5" w:rsidRPr="002F11F5">
        <w:rPr>
          <w:b/>
          <w:bCs/>
          <w:lang w:val="en-GB"/>
        </w:rPr>
        <w:t>of</w:t>
      </w:r>
      <w:r w:rsidRPr="002F11F5">
        <w:rPr>
          <w:b/>
          <w:bCs/>
          <w:lang w:val="en-GB"/>
        </w:rPr>
        <w:t xml:space="preserve"> the </w:t>
      </w:r>
      <w:r w:rsidR="002F11F5" w:rsidRPr="002F11F5">
        <w:rPr>
          <w:b/>
          <w:bCs/>
          <w:lang w:val="en-GB"/>
        </w:rPr>
        <w:t>economy</w:t>
      </w:r>
      <w:r w:rsidR="00B1508B" w:rsidRPr="002F11F5">
        <w:rPr>
          <w:b/>
          <w:bCs/>
          <w:lang w:val="en-GB"/>
        </w:rPr>
        <w:t xml:space="preserve"> </w:t>
      </w:r>
      <w:r w:rsidRPr="002F11F5">
        <w:rPr>
          <w:b/>
          <w:bCs/>
          <w:lang w:val="en-GB"/>
        </w:rPr>
        <w:t xml:space="preserve">spinning anew has been </w:t>
      </w:r>
      <w:r w:rsidR="002F11F5" w:rsidRPr="002F11F5">
        <w:rPr>
          <w:b/>
          <w:bCs/>
          <w:lang w:val="en-GB"/>
        </w:rPr>
        <w:t>positively</w:t>
      </w:r>
      <w:r w:rsidRPr="002F11F5">
        <w:rPr>
          <w:b/>
          <w:bCs/>
          <w:lang w:val="en-GB"/>
        </w:rPr>
        <w:t xml:space="preserve"> reflected in the national budget’s results at the end of 1H 2021.</w:t>
      </w:r>
      <w:r w:rsidR="00B1508B" w:rsidRPr="002F11F5">
        <w:rPr>
          <w:lang w:val="en-GB"/>
        </w:rPr>
        <w:t xml:space="preserve"> </w:t>
      </w:r>
      <w:r w:rsidRPr="002F11F5">
        <w:rPr>
          <w:lang w:val="en-GB"/>
        </w:rPr>
        <w:t xml:space="preserve">The </w:t>
      </w:r>
      <w:r w:rsidR="004F204A" w:rsidRPr="002F11F5">
        <w:rPr>
          <w:lang w:val="en-GB"/>
        </w:rPr>
        <w:t>Minist</w:t>
      </w:r>
      <w:r w:rsidRPr="002F11F5">
        <w:rPr>
          <w:lang w:val="en-GB"/>
        </w:rPr>
        <w:t>ry of Finance had pushed through a budget with an expected deficit of CZK 500 billion for this year</w:t>
      </w:r>
      <w:r w:rsidR="00B66DDA" w:rsidRPr="002F11F5">
        <w:rPr>
          <w:lang w:val="en-GB"/>
        </w:rPr>
        <w:t xml:space="preserve">. </w:t>
      </w:r>
      <w:r w:rsidRPr="002F11F5">
        <w:rPr>
          <w:lang w:val="en-GB"/>
        </w:rPr>
        <w:t>Early this year, we expected a lower</w:t>
      </w:r>
      <w:r w:rsidR="00B66DDA" w:rsidRPr="002F11F5">
        <w:rPr>
          <w:lang w:val="en-GB"/>
        </w:rPr>
        <w:t xml:space="preserve"> deficit </w:t>
      </w:r>
      <w:r w:rsidRPr="002F11F5">
        <w:rPr>
          <w:lang w:val="en-GB"/>
        </w:rPr>
        <w:t>of CZK</w:t>
      </w:r>
      <w:r w:rsidR="00B66DDA" w:rsidRPr="002F11F5">
        <w:rPr>
          <w:lang w:val="en-GB"/>
        </w:rPr>
        <w:t xml:space="preserve"> 400 </w:t>
      </w:r>
      <w:r w:rsidRPr="002F11F5">
        <w:rPr>
          <w:lang w:val="en-GB"/>
        </w:rPr>
        <w:t>billion</w:t>
      </w:r>
      <w:r w:rsidR="00B66DDA" w:rsidRPr="002F11F5">
        <w:rPr>
          <w:lang w:val="en-GB"/>
        </w:rPr>
        <w:t xml:space="preserve"> a</w:t>
      </w:r>
      <w:r w:rsidRPr="002F11F5">
        <w:rPr>
          <w:lang w:val="en-GB"/>
        </w:rPr>
        <w:t>nd we continue to hold this assumption</w:t>
      </w:r>
      <w:r w:rsidR="00B66DDA" w:rsidRPr="002F11F5">
        <w:rPr>
          <w:lang w:val="en-GB"/>
        </w:rPr>
        <w:t xml:space="preserve">. František </w:t>
      </w:r>
      <w:proofErr w:type="spellStart"/>
      <w:r w:rsidR="00B66DDA" w:rsidRPr="002F11F5">
        <w:rPr>
          <w:lang w:val="en-GB"/>
        </w:rPr>
        <w:t>Táborský</w:t>
      </w:r>
      <w:proofErr w:type="spellEnd"/>
      <w:r w:rsidRPr="002F11F5">
        <w:rPr>
          <w:lang w:val="en-GB"/>
        </w:rPr>
        <w:t xml:space="preserve">, Komerční </w:t>
      </w:r>
      <w:proofErr w:type="spellStart"/>
      <w:r w:rsidRPr="002F11F5">
        <w:rPr>
          <w:lang w:val="en-GB"/>
        </w:rPr>
        <w:t>banka’s</w:t>
      </w:r>
      <w:proofErr w:type="spellEnd"/>
      <w:r w:rsidRPr="002F11F5">
        <w:rPr>
          <w:lang w:val="en-GB"/>
        </w:rPr>
        <w:t xml:space="preserve"> strategist, notes</w:t>
      </w:r>
      <w:r w:rsidR="00FB5365" w:rsidRPr="002F11F5">
        <w:rPr>
          <w:lang w:val="en-GB"/>
        </w:rPr>
        <w:t>:</w:t>
      </w:r>
      <w:r w:rsidR="00B66DDA" w:rsidRPr="002F11F5">
        <w:rPr>
          <w:lang w:val="en-GB"/>
        </w:rPr>
        <w:t xml:space="preserve"> </w:t>
      </w:r>
      <w:r w:rsidRPr="002F11F5">
        <w:rPr>
          <w:lang w:val="en-GB"/>
        </w:rPr>
        <w:t>“</w:t>
      </w:r>
      <w:r w:rsidRPr="002F11F5">
        <w:rPr>
          <w:i/>
          <w:iCs/>
          <w:lang w:val="en-GB"/>
        </w:rPr>
        <w:t>This year</w:t>
      </w:r>
      <w:r w:rsidR="002B565C">
        <w:rPr>
          <w:i/>
          <w:iCs/>
          <w:lang w:val="en-GB"/>
        </w:rPr>
        <w:t>,</w:t>
      </w:r>
      <w:r w:rsidRPr="002F11F5">
        <w:rPr>
          <w:i/>
          <w:iCs/>
          <w:lang w:val="en-GB"/>
        </w:rPr>
        <w:t xml:space="preserve"> the national budget will continue in the practice of underestimat</w:t>
      </w:r>
      <w:r w:rsidR="002B565C">
        <w:rPr>
          <w:i/>
          <w:iCs/>
          <w:lang w:val="en-GB"/>
        </w:rPr>
        <w:t>ing</w:t>
      </w:r>
      <w:r w:rsidRPr="002F11F5">
        <w:rPr>
          <w:i/>
          <w:iCs/>
          <w:lang w:val="en-GB"/>
        </w:rPr>
        <w:t xml:space="preserve"> revenues and</w:t>
      </w:r>
      <w:r w:rsidR="002B565C">
        <w:rPr>
          <w:i/>
          <w:iCs/>
          <w:lang w:val="en-GB"/>
        </w:rPr>
        <w:t>,</w:t>
      </w:r>
      <w:r w:rsidRPr="002F11F5">
        <w:rPr>
          <w:i/>
          <w:iCs/>
          <w:lang w:val="en-GB"/>
        </w:rPr>
        <w:t xml:space="preserve"> like last year, will also </w:t>
      </w:r>
      <w:r w:rsidR="00B66DDA" w:rsidRPr="002F11F5">
        <w:rPr>
          <w:i/>
          <w:iCs/>
          <w:lang w:val="en-GB"/>
        </w:rPr>
        <w:t xml:space="preserve">benefit </w:t>
      </w:r>
      <w:r w:rsidRPr="002F11F5">
        <w:rPr>
          <w:i/>
          <w:iCs/>
          <w:lang w:val="en-GB"/>
        </w:rPr>
        <w:t>from savings of expenditure slated for ‘</w:t>
      </w:r>
      <w:r w:rsidR="00B66DDA" w:rsidRPr="002F11F5">
        <w:rPr>
          <w:i/>
          <w:iCs/>
          <w:lang w:val="en-GB"/>
        </w:rPr>
        <w:t>covid</w:t>
      </w:r>
      <w:r w:rsidRPr="002F11F5">
        <w:rPr>
          <w:i/>
          <w:iCs/>
          <w:lang w:val="en-GB"/>
        </w:rPr>
        <w:t>’</w:t>
      </w:r>
      <w:r w:rsidR="00B66DDA" w:rsidRPr="002F11F5">
        <w:rPr>
          <w:i/>
          <w:iCs/>
          <w:lang w:val="en-GB"/>
        </w:rPr>
        <w:t xml:space="preserve"> </w:t>
      </w:r>
      <w:r w:rsidRPr="002F11F5">
        <w:rPr>
          <w:i/>
          <w:iCs/>
          <w:lang w:val="en-GB"/>
        </w:rPr>
        <w:t>schemes;</w:t>
      </w:r>
      <w:r w:rsidR="00B66DDA" w:rsidRPr="002F11F5">
        <w:rPr>
          <w:i/>
          <w:iCs/>
          <w:lang w:val="en-GB"/>
        </w:rPr>
        <w:t xml:space="preserve"> </w:t>
      </w:r>
      <w:r w:rsidRPr="002F11F5">
        <w:rPr>
          <w:i/>
          <w:iCs/>
          <w:lang w:val="en-GB"/>
        </w:rPr>
        <w:t>at the end of the day</w:t>
      </w:r>
      <w:r w:rsidR="002B565C">
        <w:rPr>
          <w:i/>
          <w:iCs/>
          <w:lang w:val="en-GB"/>
        </w:rPr>
        <w:t>,</w:t>
      </w:r>
      <w:r w:rsidRPr="002F11F5">
        <w:rPr>
          <w:i/>
          <w:iCs/>
          <w:lang w:val="en-GB"/>
        </w:rPr>
        <w:t xml:space="preserve"> this will again lead </w:t>
      </w:r>
      <w:r w:rsidR="002B565C">
        <w:rPr>
          <w:i/>
          <w:iCs/>
          <w:lang w:val="en-GB"/>
        </w:rPr>
        <w:t>to</w:t>
      </w:r>
      <w:r w:rsidRPr="002F11F5">
        <w:rPr>
          <w:i/>
          <w:iCs/>
          <w:lang w:val="en-GB"/>
        </w:rPr>
        <w:t xml:space="preserve"> a lower than planned </w:t>
      </w:r>
      <w:r w:rsidR="00B66DDA" w:rsidRPr="002F11F5">
        <w:rPr>
          <w:i/>
          <w:iCs/>
          <w:lang w:val="en-GB"/>
        </w:rPr>
        <w:t>defici</w:t>
      </w:r>
      <w:r w:rsidRPr="002F11F5">
        <w:rPr>
          <w:i/>
          <w:iCs/>
          <w:lang w:val="en-GB"/>
        </w:rPr>
        <w:t>t in the national budget</w:t>
      </w:r>
      <w:r w:rsidR="00B66DDA" w:rsidRPr="002F11F5">
        <w:rPr>
          <w:lang w:val="en-GB"/>
        </w:rPr>
        <w:t>.</w:t>
      </w:r>
      <w:r w:rsidRPr="002F11F5">
        <w:rPr>
          <w:lang w:val="en-GB"/>
        </w:rPr>
        <w:t xml:space="preserve">” </w:t>
      </w:r>
    </w:p>
    <w:p w14:paraId="1CAE375B" w14:textId="77777777" w:rsidR="00B86B79" w:rsidRPr="002F11F5" w:rsidRDefault="00B86B79" w:rsidP="32959675">
      <w:pPr>
        <w:jc w:val="both"/>
        <w:rPr>
          <w:lang w:val="en-GB"/>
        </w:rPr>
      </w:pPr>
    </w:p>
    <w:p w14:paraId="628E7161" w14:textId="77777777" w:rsidR="00B86B79" w:rsidRPr="002F11F5" w:rsidRDefault="00654CC6" w:rsidP="32959675">
      <w:pPr>
        <w:jc w:val="both"/>
        <w:rPr>
          <w:lang w:val="en-GB"/>
        </w:rPr>
      </w:pPr>
      <w:r w:rsidRPr="002F11F5">
        <w:rPr>
          <w:b/>
          <w:bCs/>
          <w:lang w:val="en-GB"/>
        </w:rPr>
        <w:t xml:space="preserve">The growing </w:t>
      </w:r>
      <w:r w:rsidR="002F11F5" w:rsidRPr="002F11F5">
        <w:rPr>
          <w:b/>
          <w:bCs/>
          <w:lang w:val="en-GB"/>
        </w:rPr>
        <w:t>economy</w:t>
      </w:r>
      <w:r w:rsidRPr="002F11F5">
        <w:rPr>
          <w:b/>
          <w:bCs/>
          <w:lang w:val="en-GB"/>
        </w:rPr>
        <w:t xml:space="preserve"> and the rising rates will underpin the </w:t>
      </w:r>
      <w:r w:rsidR="008D67AF" w:rsidRPr="002F11F5">
        <w:rPr>
          <w:b/>
          <w:bCs/>
          <w:lang w:val="en-GB"/>
        </w:rPr>
        <w:t>korun</w:t>
      </w:r>
      <w:r w:rsidRPr="002F11F5">
        <w:rPr>
          <w:b/>
          <w:bCs/>
          <w:lang w:val="en-GB"/>
        </w:rPr>
        <w:t>a</w:t>
      </w:r>
      <w:r w:rsidR="008D67AF" w:rsidRPr="002F11F5">
        <w:rPr>
          <w:b/>
          <w:bCs/>
          <w:lang w:val="en-GB"/>
        </w:rPr>
        <w:t>.</w:t>
      </w:r>
      <w:r w:rsidR="008D67AF" w:rsidRPr="002F11F5">
        <w:rPr>
          <w:lang w:val="en-GB"/>
        </w:rPr>
        <w:t xml:space="preserve"> </w:t>
      </w:r>
      <w:r w:rsidRPr="002F11F5">
        <w:rPr>
          <w:lang w:val="en-GB"/>
        </w:rPr>
        <w:t>“</w:t>
      </w:r>
      <w:r w:rsidR="008D67AF" w:rsidRPr="002F11F5">
        <w:rPr>
          <w:i/>
          <w:iCs/>
          <w:lang w:val="en-GB"/>
        </w:rPr>
        <w:t>T</w:t>
      </w:r>
      <w:r w:rsidRPr="002F11F5">
        <w:rPr>
          <w:i/>
          <w:iCs/>
          <w:lang w:val="en-GB"/>
        </w:rPr>
        <w:t>o</w:t>
      </w:r>
      <w:r w:rsidR="008D67AF" w:rsidRPr="002F11F5">
        <w:rPr>
          <w:i/>
          <w:iCs/>
          <w:lang w:val="en-GB"/>
        </w:rPr>
        <w:t xml:space="preserve"> eur</w:t>
      </w:r>
      <w:r w:rsidRPr="002F11F5">
        <w:rPr>
          <w:i/>
          <w:iCs/>
          <w:lang w:val="en-GB"/>
        </w:rPr>
        <w:t xml:space="preserve">o, the koruna will strengthen to </w:t>
      </w:r>
      <w:r w:rsidR="008D67AF" w:rsidRPr="002F11F5">
        <w:rPr>
          <w:i/>
          <w:iCs/>
          <w:lang w:val="en-GB"/>
        </w:rPr>
        <w:t>25</w:t>
      </w:r>
      <w:r w:rsidRPr="002F11F5">
        <w:rPr>
          <w:i/>
          <w:iCs/>
          <w:lang w:val="en-GB"/>
        </w:rPr>
        <w:t>.</w:t>
      </w:r>
      <w:r w:rsidR="008D67AF" w:rsidRPr="002F11F5">
        <w:rPr>
          <w:i/>
          <w:iCs/>
          <w:lang w:val="en-GB"/>
        </w:rPr>
        <w:t xml:space="preserve">10 CZK/EUR </w:t>
      </w:r>
      <w:r w:rsidRPr="002F11F5">
        <w:rPr>
          <w:i/>
          <w:iCs/>
          <w:lang w:val="en-GB"/>
        </w:rPr>
        <w:t xml:space="preserve">by the end of this year while next year, the </w:t>
      </w:r>
      <w:r w:rsidR="008D67AF" w:rsidRPr="002F11F5">
        <w:rPr>
          <w:i/>
          <w:iCs/>
          <w:lang w:val="en-GB"/>
        </w:rPr>
        <w:t xml:space="preserve">euro </w:t>
      </w:r>
      <w:r w:rsidRPr="002F11F5">
        <w:rPr>
          <w:i/>
          <w:iCs/>
          <w:lang w:val="en-GB"/>
        </w:rPr>
        <w:t xml:space="preserve">will cost less than CZK </w:t>
      </w:r>
      <w:r w:rsidR="008D67AF" w:rsidRPr="002F11F5">
        <w:rPr>
          <w:i/>
          <w:iCs/>
          <w:lang w:val="en-GB"/>
        </w:rPr>
        <w:t>25</w:t>
      </w:r>
      <w:r w:rsidR="00F55971" w:rsidRPr="002F11F5">
        <w:rPr>
          <w:lang w:val="en-GB"/>
        </w:rPr>
        <w:t>,</w:t>
      </w:r>
      <w:r w:rsidRPr="002F11F5">
        <w:rPr>
          <w:lang w:val="en-GB"/>
        </w:rPr>
        <w:t>”</w:t>
      </w:r>
      <w:r w:rsidR="00F55971" w:rsidRPr="002F11F5">
        <w:rPr>
          <w:lang w:val="en-GB"/>
        </w:rPr>
        <w:t xml:space="preserve"> František </w:t>
      </w:r>
      <w:proofErr w:type="spellStart"/>
      <w:r w:rsidR="00F55971" w:rsidRPr="002F11F5">
        <w:rPr>
          <w:lang w:val="en-GB"/>
        </w:rPr>
        <w:t>Táborský</w:t>
      </w:r>
      <w:proofErr w:type="spellEnd"/>
      <w:r w:rsidRPr="002F11F5">
        <w:rPr>
          <w:lang w:val="en-GB"/>
        </w:rPr>
        <w:t xml:space="preserve"> </w:t>
      </w:r>
      <w:r w:rsidR="002F11F5" w:rsidRPr="002F11F5">
        <w:rPr>
          <w:lang w:val="en-GB"/>
        </w:rPr>
        <w:t>quantifies</w:t>
      </w:r>
      <w:r w:rsidRPr="002F11F5">
        <w:rPr>
          <w:lang w:val="en-GB"/>
        </w:rPr>
        <w:t xml:space="preserve"> the expected koruna rate</w:t>
      </w:r>
      <w:r w:rsidR="00F55971" w:rsidRPr="002F11F5">
        <w:rPr>
          <w:lang w:val="en-GB"/>
        </w:rPr>
        <w:t xml:space="preserve">. </w:t>
      </w:r>
      <w:r w:rsidRPr="002F11F5">
        <w:rPr>
          <w:lang w:val="en-GB"/>
        </w:rPr>
        <w:t>Compared with the preceding forecast, the koruna will strengthen at a slower pace</w:t>
      </w:r>
      <w:r w:rsidR="00F55971" w:rsidRPr="002F11F5">
        <w:rPr>
          <w:lang w:val="en-GB"/>
        </w:rPr>
        <w:t xml:space="preserve">. </w:t>
      </w:r>
      <w:r w:rsidRPr="002F11F5">
        <w:rPr>
          <w:lang w:val="en-GB"/>
        </w:rPr>
        <w:t xml:space="preserve">The main reason is the </w:t>
      </w:r>
      <w:r w:rsidR="002F11F5" w:rsidRPr="002F11F5">
        <w:rPr>
          <w:lang w:val="en-GB"/>
        </w:rPr>
        <w:t>complete</w:t>
      </w:r>
      <w:r w:rsidR="00F55971" w:rsidRPr="002F11F5">
        <w:rPr>
          <w:lang w:val="en-GB"/>
        </w:rPr>
        <w:t xml:space="preserve"> revi</w:t>
      </w:r>
      <w:r w:rsidRPr="002F11F5">
        <w:rPr>
          <w:lang w:val="en-GB"/>
        </w:rPr>
        <w:t xml:space="preserve">sion of the </w:t>
      </w:r>
      <w:r w:rsidR="00F55971" w:rsidRPr="002F11F5">
        <w:rPr>
          <w:lang w:val="en-GB"/>
        </w:rPr>
        <w:t>eur</w:t>
      </w:r>
      <w:r w:rsidRPr="002F11F5">
        <w:rPr>
          <w:lang w:val="en-GB"/>
        </w:rPr>
        <w:t>o/dollar rate towards a stronger dollar</w:t>
      </w:r>
      <w:r w:rsidR="00F55971" w:rsidRPr="002F11F5">
        <w:rPr>
          <w:lang w:val="en-GB"/>
        </w:rPr>
        <w:t xml:space="preserve">. </w:t>
      </w:r>
      <w:r w:rsidRPr="002F11F5">
        <w:rPr>
          <w:lang w:val="en-GB"/>
        </w:rPr>
        <w:t>“</w:t>
      </w:r>
      <w:r w:rsidRPr="002F11F5">
        <w:rPr>
          <w:i/>
          <w:iCs/>
          <w:lang w:val="en-GB"/>
        </w:rPr>
        <w:t>For the time being, financial markets do not really expect rate hikes in the US</w:t>
      </w:r>
      <w:r w:rsidR="009B679C" w:rsidRPr="002F11F5">
        <w:rPr>
          <w:i/>
          <w:iCs/>
          <w:lang w:val="en-GB"/>
        </w:rPr>
        <w:t xml:space="preserve">. </w:t>
      </w:r>
      <w:r w:rsidRPr="002F11F5">
        <w:rPr>
          <w:i/>
          <w:iCs/>
          <w:lang w:val="en-GB"/>
        </w:rPr>
        <w:t>Once they start to include them in their prices</w:t>
      </w:r>
      <w:r w:rsidR="009B679C" w:rsidRPr="002F11F5">
        <w:rPr>
          <w:i/>
          <w:iCs/>
          <w:lang w:val="en-GB"/>
        </w:rPr>
        <w:t xml:space="preserve">, </w:t>
      </w:r>
      <w:r w:rsidRPr="002F11F5">
        <w:rPr>
          <w:i/>
          <w:iCs/>
          <w:lang w:val="en-GB"/>
        </w:rPr>
        <w:t>the US dollar will appreciate,</w:t>
      </w:r>
      <w:r w:rsidRPr="002F11F5">
        <w:rPr>
          <w:lang w:val="en-GB"/>
        </w:rPr>
        <w:t xml:space="preserve">” adds </w:t>
      </w:r>
      <w:r w:rsidR="009B679C" w:rsidRPr="002F11F5">
        <w:rPr>
          <w:lang w:val="en-GB"/>
        </w:rPr>
        <w:t xml:space="preserve">Jana </w:t>
      </w:r>
      <w:proofErr w:type="spellStart"/>
      <w:r w:rsidR="009B679C" w:rsidRPr="002F11F5">
        <w:rPr>
          <w:lang w:val="en-GB"/>
        </w:rPr>
        <w:t>Steckerová</w:t>
      </w:r>
      <w:proofErr w:type="spellEnd"/>
      <w:r w:rsidR="00FB5365" w:rsidRPr="002F11F5">
        <w:rPr>
          <w:lang w:val="en-GB"/>
        </w:rPr>
        <w:t xml:space="preserve">, </w:t>
      </w:r>
      <w:r w:rsidRPr="002F11F5">
        <w:rPr>
          <w:lang w:val="en-GB"/>
        </w:rPr>
        <w:t>K</w:t>
      </w:r>
      <w:r w:rsidR="00FB5365" w:rsidRPr="002F11F5">
        <w:rPr>
          <w:lang w:val="en-GB"/>
        </w:rPr>
        <w:t xml:space="preserve">omerční </w:t>
      </w:r>
      <w:proofErr w:type="spellStart"/>
      <w:r w:rsidR="00FB5365" w:rsidRPr="002F11F5">
        <w:rPr>
          <w:lang w:val="en-GB"/>
        </w:rPr>
        <w:t>bank</w:t>
      </w:r>
      <w:r w:rsidRPr="002F11F5">
        <w:rPr>
          <w:lang w:val="en-GB"/>
        </w:rPr>
        <w:t>a’s</w:t>
      </w:r>
      <w:proofErr w:type="spellEnd"/>
      <w:r w:rsidRPr="002F11F5">
        <w:rPr>
          <w:lang w:val="en-GB"/>
        </w:rPr>
        <w:t xml:space="preserve"> economist</w:t>
      </w:r>
      <w:r w:rsidR="009B679C" w:rsidRPr="002F11F5">
        <w:rPr>
          <w:lang w:val="en-GB"/>
        </w:rPr>
        <w:t>.</w:t>
      </w:r>
      <w:r w:rsidRPr="002F11F5">
        <w:rPr>
          <w:lang w:val="en-GB"/>
        </w:rPr>
        <w:t xml:space="preserve"> “</w:t>
      </w:r>
      <w:r w:rsidRPr="002F11F5">
        <w:rPr>
          <w:i/>
          <w:iCs/>
          <w:lang w:val="en-GB"/>
        </w:rPr>
        <w:t xml:space="preserve">We regard the koruna’s summer </w:t>
      </w:r>
      <w:r w:rsidR="00E109CF" w:rsidRPr="002F11F5">
        <w:rPr>
          <w:i/>
          <w:iCs/>
          <w:lang w:val="en-GB"/>
        </w:rPr>
        <w:t>volatilit</w:t>
      </w:r>
      <w:r w:rsidRPr="002F11F5">
        <w:rPr>
          <w:i/>
          <w:iCs/>
          <w:lang w:val="en-GB"/>
        </w:rPr>
        <w:t xml:space="preserve">y and occasional weakening as an opportunity to put in place better </w:t>
      </w:r>
      <w:r w:rsidR="002F11F5" w:rsidRPr="002F11F5">
        <w:rPr>
          <w:i/>
          <w:iCs/>
          <w:lang w:val="en-GB"/>
        </w:rPr>
        <w:t>conditions</w:t>
      </w:r>
      <w:r w:rsidRPr="002F11F5">
        <w:rPr>
          <w:i/>
          <w:iCs/>
          <w:lang w:val="en-GB"/>
        </w:rPr>
        <w:t xml:space="preserve"> for </w:t>
      </w:r>
      <w:r w:rsidR="002F11F5" w:rsidRPr="002F11F5">
        <w:rPr>
          <w:i/>
          <w:iCs/>
          <w:lang w:val="en-GB"/>
        </w:rPr>
        <w:t>exporters</w:t>
      </w:r>
      <w:r w:rsidR="00E109CF" w:rsidRPr="002F11F5">
        <w:rPr>
          <w:lang w:val="en-GB"/>
        </w:rPr>
        <w:t>,</w:t>
      </w:r>
      <w:r w:rsidRPr="002F11F5">
        <w:rPr>
          <w:lang w:val="en-GB"/>
        </w:rPr>
        <w:t>”</w:t>
      </w:r>
      <w:r w:rsidR="00E109CF" w:rsidRPr="002F11F5">
        <w:rPr>
          <w:lang w:val="en-GB"/>
        </w:rPr>
        <w:t xml:space="preserve"> </w:t>
      </w:r>
      <w:r w:rsidRPr="002F11F5">
        <w:rPr>
          <w:lang w:val="en-GB"/>
        </w:rPr>
        <w:t xml:space="preserve">adds František </w:t>
      </w:r>
      <w:proofErr w:type="spellStart"/>
      <w:r w:rsidR="00E109CF" w:rsidRPr="002F11F5">
        <w:rPr>
          <w:lang w:val="en-GB"/>
        </w:rPr>
        <w:t>Táborský</w:t>
      </w:r>
      <w:proofErr w:type="spellEnd"/>
      <w:r w:rsidR="00E109CF" w:rsidRPr="002F11F5">
        <w:rPr>
          <w:lang w:val="en-GB"/>
        </w:rPr>
        <w:t>.</w:t>
      </w:r>
      <w:r w:rsidR="002B565C">
        <w:rPr>
          <w:lang w:val="en-GB"/>
        </w:rPr>
        <w:t xml:space="preserve"> </w:t>
      </w:r>
    </w:p>
    <w:p w14:paraId="0DA06F7B" w14:textId="77777777" w:rsidR="008E652E" w:rsidRPr="002F11F5" w:rsidRDefault="008E652E" w:rsidP="32959675">
      <w:pPr>
        <w:jc w:val="both"/>
        <w:rPr>
          <w:b/>
          <w:bCs/>
          <w:highlight w:val="yellow"/>
          <w:lang w:val="en-GB"/>
        </w:rPr>
      </w:pPr>
    </w:p>
    <w:p w14:paraId="5EE181F8" w14:textId="77777777" w:rsidR="00CC6F5A" w:rsidRPr="002F11F5" w:rsidRDefault="00CC6F5A" w:rsidP="32959675">
      <w:pPr>
        <w:jc w:val="both"/>
        <w:rPr>
          <w:highlight w:val="yellow"/>
          <w:lang w:val="en-GB"/>
        </w:rPr>
      </w:pPr>
    </w:p>
    <w:tbl>
      <w:tblPr>
        <w:tblW w:w="7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4"/>
        <w:gridCol w:w="591"/>
        <w:gridCol w:w="708"/>
        <w:gridCol w:w="708"/>
      </w:tblGrid>
      <w:tr w:rsidR="00654CC6" w:rsidRPr="002F11F5" w14:paraId="2D4C38F7" w14:textId="77777777" w:rsidTr="00654CC6">
        <w:trPr>
          <w:trHeight w:val="270"/>
        </w:trPr>
        <w:tc>
          <w:tcPr>
            <w:tcW w:w="5634" w:type="dxa"/>
            <w:tcBorders>
              <w:top w:val="nil"/>
              <w:left w:val="nil"/>
              <w:bottom w:val="single" w:sz="12" w:space="0" w:color="E60028" w:themeColor="accent2"/>
              <w:right w:val="nil"/>
            </w:tcBorders>
            <w:shd w:val="clear" w:color="000000" w:fill="FFFFFF"/>
            <w:vAlign w:val="bottom"/>
          </w:tcPr>
          <w:p w14:paraId="0C440175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24"/>
                <w:szCs w:val="24"/>
                <w:lang w:val="en-GB" w:eastAsia="cs-CZ"/>
              </w:rPr>
            </w:pPr>
            <w:r w:rsidRPr="002F11F5">
              <w:rPr>
                <w:rFonts w:eastAsia="Times New Roman"/>
                <w:b/>
                <w:bCs/>
                <w:kern w:val="16"/>
                <w:sz w:val="24"/>
                <w:szCs w:val="24"/>
                <w:lang w:val="en-GB" w:eastAsia="cs-CZ"/>
              </w:rPr>
              <w:t>Macroeconomic forecast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E60028" w:themeColor="accent2"/>
              <w:right w:val="nil"/>
            </w:tcBorders>
            <w:shd w:val="clear" w:color="000000" w:fill="FFFFFF"/>
            <w:noWrap/>
            <w:vAlign w:val="bottom"/>
            <w:hideMark/>
          </w:tcPr>
          <w:p w14:paraId="27F88A5F" w14:textId="77777777" w:rsidR="00654CC6" w:rsidRPr="002F11F5" w:rsidRDefault="00654CC6" w:rsidP="0011603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cs-CZ"/>
              </w:rPr>
            </w:pPr>
            <w:r w:rsidRPr="002F11F5">
              <w:rPr>
                <w:rFonts w:eastAsia="Times New Roman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 w:themeColor="accent2"/>
              <w:right w:val="nil"/>
            </w:tcBorders>
            <w:shd w:val="clear" w:color="000000" w:fill="FFFFFF"/>
            <w:noWrap/>
            <w:vAlign w:val="bottom"/>
            <w:hideMark/>
          </w:tcPr>
          <w:p w14:paraId="04E12014" w14:textId="77777777" w:rsidR="00654CC6" w:rsidRPr="002F11F5" w:rsidRDefault="00654CC6" w:rsidP="0011603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cs-CZ"/>
              </w:rPr>
            </w:pPr>
            <w:r w:rsidRPr="002F11F5">
              <w:rPr>
                <w:rFonts w:eastAsia="Times New Roman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 w:themeColor="accent2"/>
              <w:right w:val="nil"/>
            </w:tcBorders>
            <w:shd w:val="clear" w:color="000000" w:fill="FFFFFF"/>
            <w:noWrap/>
            <w:vAlign w:val="bottom"/>
            <w:hideMark/>
          </w:tcPr>
          <w:p w14:paraId="4B985045" w14:textId="77777777" w:rsidR="00654CC6" w:rsidRPr="002F11F5" w:rsidRDefault="00654CC6" w:rsidP="0011603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cs-CZ"/>
              </w:rPr>
            </w:pPr>
            <w:r w:rsidRPr="002F11F5">
              <w:rPr>
                <w:rFonts w:eastAsia="Times New Roman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</w:tr>
      <w:tr w:rsidR="00654CC6" w:rsidRPr="002F11F5" w14:paraId="57FC7772" w14:textId="77777777" w:rsidTr="00654CC6">
        <w:trPr>
          <w:trHeight w:val="270"/>
        </w:trPr>
        <w:tc>
          <w:tcPr>
            <w:tcW w:w="5634" w:type="dxa"/>
            <w:tcBorders>
              <w:top w:val="single" w:sz="12" w:space="0" w:color="E60028" w:themeColor="accent2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03223A9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rFonts w:eastAsia="Times New Roman"/>
                <w:kern w:val="16"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591" w:type="dxa"/>
            <w:tcBorders>
              <w:top w:val="single" w:sz="4" w:space="0" w:color="E60028" w:themeColor="accent2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EF29E" w14:textId="77777777" w:rsidR="00654CC6" w:rsidRPr="002F11F5" w:rsidRDefault="00654CC6" w:rsidP="00A4418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GB" w:eastAsia="cs-CZ"/>
              </w:rPr>
            </w:pPr>
            <w:r w:rsidRPr="002F11F5">
              <w:rPr>
                <w:rFonts w:eastAsia="Times New Roman"/>
                <w:sz w:val="20"/>
                <w:szCs w:val="20"/>
                <w:lang w:val="en-GB" w:eastAsia="cs-CZ"/>
              </w:rPr>
              <w:t>2020</w:t>
            </w:r>
          </w:p>
        </w:tc>
        <w:tc>
          <w:tcPr>
            <w:tcW w:w="708" w:type="dxa"/>
            <w:tcBorders>
              <w:top w:val="single" w:sz="4" w:space="0" w:color="E60028" w:themeColor="accent2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</w:tcPr>
          <w:p w14:paraId="4CFE8AA3" w14:textId="77777777" w:rsidR="00654CC6" w:rsidRPr="002F11F5" w:rsidRDefault="00654CC6" w:rsidP="00A4418E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en-GB" w:eastAsia="cs-CZ"/>
              </w:rPr>
            </w:pPr>
            <w:r w:rsidRPr="002F11F5">
              <w:rPr>
                <w:rFonts w:eastAsia="Times New Roman"/>
                <w:b/>
                <w:bCs/>
                <w:sz w:val="20"/>
                <w:szCs w:val="20"/>
                <w:lang w:val="en-GB" w:eastAsia="cs-CZ"/>
              </w:rPr>
              <w:t>2021</w:t>
            </w:r>
          </w:p>
        </w:tc>
        <w:tc>
          <w:tcPr>
            <w:tcW w:w="708" w:type="dxa"/>
            <w:tcBorders>
              <w:top w:val="single" w:sz="4" w:space="0" w:color="E60028" w:themeColor="accent2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</w:tcPr>
          <w:p w14:paraId="5C197724" w14:textId="77777777" w:rsidR="00654CC6" w:rsidRPr="002F11F5" w:rsidRDefault="00654CC6" w:rsidP="00A4418E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en-GB" w:eastAsia="cs-CZ"/>
              </w:rPr>
            </w:pPr>
            <w:r w:rsidRPr="002F11F5">
              <w:rPr>
                <w:rFonts w:eastAsia="Times New Roman"/>
                <w:b/>
                <w:bCs/>
                <w:sz w:val="20"/>
                <w:szCs w:val="20"/>
                <w:lang w:val="en-GB" w:eastAsia="cs-CZ"/>
              </w:rPr>
              <w:t>2022</w:t>
            </w:r>
          </w:p>
        </w:tc>
      </w:tr>
      <w:tr w:rsidR="00654CC6" w:rsidRPr="002F11F5" w14:paraId="6F2CC7A6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7F2250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smartTag w:uri="urn:schemas-microsoft-com:office:smarttags" w:element="stockticker">
              <w:r w:rsidRPr="002F11F5">
                <w:rPr>
                  <w:b/>
                  <w:bCs/>
                  <w:kern w:val="16"/>
                  <w:sz w:val="18"/>
                  <w:szCs w:val="18"/>
                  <w:lang w:val="en-GB"/>
                </w:rPr>
                <w:t>GDP</w:t>
              </w:r>
            </w:smartTag>
            <w:r w:rsidRPr="002F11F5">
              <w:rPr>
                <w:kern w:val="16"/>
                <w:sz w:val="18"/>
                <w:szCs w:val="18"/>
                <w:lang w:val="en-GB"/>
              </w:rPr>
              <w:t xml:space="preserve"> (real growth, </w:t>
            </w:r>
            <w:proofErr w:type="spellStart"/>
            <w:r w:rsidRPr="002F11F5">
              <w:rPr>
                <w:kern w:val="16"/>
                <w:sz w:val="18"/>
                <w:szCs w:val="18"/>
                <w:lang w:val="en-GB"/>
              </w:rPr>
              <w:t>yoy</w:t>
            </w:r>
            <w:proofErr w:type="spellEnd"/>
            <w:r w:rsidRPr="002F11F5">
              <w:rPr>
                <w:kern w:val="16"/>
                <w:sz w:val="18"/>
                <w:szCs w:val="18"/>
                <w:lang w:val="en-GB"/>
              </w:rPr>
              <w:t xml:space="preserve"> in %)</w:t>
            </w:r>
          </w:p>
        </w:tc>
        <w:tc>
          <w:tcPr>
            <w:tcW w:w="59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41EFF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-5.8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DE7F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4.2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A5A160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5.3</w:t>
            </w:r>
          </w:p>
        </w:tc>
      </w:tr>
      <w:tr w:rsidR="00654CC6" w:rsidRPr="002F11F5" w14:paraId="6DD4E418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F41B1A" w14:textId="77777777" w:rsidR="00654CC6" w:rsidRPr="002F11F5" w:rsidRDefault="00654CC6" w:rsidP="008F4FB7">
            <w:pPr>
              <w:spacing w:line="240" w:lineRule="auto"/>
              <w:ind w:firstLineChars="200" w:firstLine="361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b/>
                <w:bCs/>
                <w:kern w:val="16"/>
                <w:sz w:val="18"/>
                <w:szCs w:val="18"/>
                <w:lang w:val="en-GB"/>
              </w:rPr>
              <w:t xml:space="preserve">Household consumption </w:t>
            </w:r>
            <w:r w:rsidRPr="002F11F5">
              <w:rPr>
                <w:kern w:val="16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2F11F5">
              <w:rPr>
                <w:kern w:val="16"/>
                <w:sz w:val="18"/>
                <w:szCs w:val="18"/>
                <w:lang w:val="en-GB"/>
              </w:rPr>
              <w:t>yoy</w:t>
            </w:r>
            <w:proofErr w:type="spellEnd"/>
            <w:r w:rsidRPr="002F11F5">
              <w:rPr>
                <w:kern w:val="16"/>
                <w:sz w:val="18"/>
                <w:szCs w:val="18"/>
                <w:lang w:val="en-GB"/>
              </w:rPr>
              <w:t xml:space="preserve"> in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06838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-7.1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19E3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CD08BB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6.6</w:t>
            </w:r>
          </w:p>
        </w:tc>
      </w:tr>
      <w:tr w:rsidR="00654CC6" w:rsidRPr="002F11F5" w14:paraId="4D8E4197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3F57CB" w14:textId="77777777" w:rsidR="00654CC6" w:rsidRPr="002F11F5" w:rsidRDefault="00654CC6" w:rsidP="008F4FB7">
            <w:pPr>
              <w:spacing w:line="240" w:lineRule="auto"/>
              <w:ind w:firstLineChars="200" w:firstLine="361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b/>
                <w:bCs/>
                <w:kern w:val="16"/>
                <w:sz w:val="18"/>
                <w:szCs w:val="18"/>
                <w:lang w:val="en-GB"/>
              </w:rPr>
              <w:t xml:space="preserve">Fixed investment </w:t>
            </w:r>
            <w:r w:rsidRPr="002F11F5">
              <w:rPr>
                <w:kern w:val="16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2F11F5">
              <w:rPr>
                <w:kern w:val="16"/>
                <w:sz w:val="18"/>
                <w:szCs w:val="18"/>
                <w:lang w:val="en-GB"/>
              </w:rPr>
              <w:t>yoy</w:t>
            </w:r>
            <w:proofErr w:type="spellEnd"/>
            <w:r w:rsidRPr="002F11F5">
              <w:rPr>
                <w:kern w:val="16"/>
                <w:sz w:val="18"/>
                <w:szCs w:val="18"/>
                <w:lang w:val="en-GB"/>
              </w:rPr>
              <w:t xml:space="preserve"> in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CFF3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-7.2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88DF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3CCCEC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5.6</w:t>
            </w:r>
          </w:p>
        </w:tc>
      </w:tr>
      <w:tr w:rsidR="00654CC6" w:rsidRPr="002F11F5" w14:paraId="708A8E8C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771F1C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b/>
                <w:bCs/>
                <w:kern w:val="16"/>
                <w:sz w:val="18"/>
                <w:szCs w:val="18"/>
                <w:lang w:val="en-GB"/>
              </w:rPr>
              <w:t xml:space="preserve">External trade balance </w:t>
            </w:r>
            <w:r w:rsidRPr="002F11F5">
              <w:rPr>
                <w:kern w:val="16"/>
                <w:sz w:val="18"/>
                <w:szCs w:val="18"/>
                <w:lang w:val="en-GB"/>
              </w:rPr>
              <w:t>(CZK bn)</w:t>
            </w:r>
            <w:r w:rsidRPr="002F11F5">
              <w:rPr>
                <w:rFonts w:eastAsia="Times New Roman"/>
                <w:bCs/>
                <w:kern w:val="16"/>
                <w:sz w:val="18"/>
                <w:szCs w:val="18"/>
                <w:lang w:val="en-GB" w:eastAsia="cs-CZ"/>
              </w:rPr>
              <w:t xml:space="preserve"> (*)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6C89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D84CF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3CC628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183</w:t>
            </w:r>
          </w:p>
        </w:tc>
      </w:tr>
      <w:tr w:rsidR="00654CC6" w:rsidRPr="002F11F5" w14:paraId="2E00D7E8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8B7C89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b/>
                <w:bCs/>
                <w:kern w:val="16"/>
                <w:sz w:val="18"/>
                <w:szCs w:val="18"/>
                <w:lang w:val="en-GB"/>
              </w:rPr>
              <w:t xml:space="preserve">Industrial production </w:t>
            </w:r>
            <w:r w:rsidRPr="002F11F5">
              <w:rPr>
                <w:kern w:val="16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2F11F5">
              <w:rPr>
                <w:kern w:val="16"/>
                <w:sz w:val="18"/>
                <w:szCs w:val="18"/>
                <w:lang w:val="en-GB"/>
              </w:rPr>
              <w:t>yoy</w:t>
            </w:r>
            <w:proofErr w:type="spellEnd"/>
            <w:r w:rsidRPr="002F11F5">
              <w:rPr>
                <w:kern w:val="16"/>
                <w:sz w:val="18"/>
                <w:szCs w:val="18"/>
                <w:lang w:val="en-GB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55EED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-7.1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64B1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10.8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2EB5CA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7.3</w:t>
            </w:r>
          </w:p>
        </w:tc>
      </w:tr>
      <w:tr w:rsidR="00654CC6" w:rsidRPr="002F11F5" w14:paraId="70C93716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67AABB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b/>
                <w:bCs/>
                <w:kern w:val="16"/>
                <w:sz w:val="18"/>
                <w:szCs w:val="18"/>
                <w:lang w:val="en-GB"/>
              </w:rPr>
              <w:t xml:space="preserve">Retail sales </w:t>
            </w:r>
            <w:r w:rsidRPr="002F11F5">
              <w:rPr>
                <w:kern w:val="16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2F11F5">
              <w:rPr>
                <w:kern w:val="16"/>
                <w:sz w:val="18"/>
                <w:szCs w:val="18"/>
                <w:lang w:val="en-GB"/>
              </w:rPr>
              <w:t>yoy</w:t>
            </w:r>
            <w:proofErr w:type="spellEnd"/>
            <w:r w:rsidRPr="002F11F5">
              <w:rPr>
                <w:kern w:val="16"/>
                <w:sz w:val="18"/>
                <w:szCs w:val="18"/>
                <w:lang w:val="en-GB"/>
              </w:rPr>
              <w:t xml:space="preserve"> in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DC4C4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-0.6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5E5A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2AAA05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4.9</w:t>
            </w:r>
          </w:p>
        </w:tc>
      </w:tr>
      <w:tr w:rsidR="00654CC6" w:rsidRPr="002F11F5" w14:paraId="0D34BB08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534CD0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b/>
                <w:bCs/>
                <w:kern w:val="16"/>
                <w:sz w:val="18"/>
                <w:szCs w:val="18"/>
                <w:lang w:val="en-GB"/>
              </w:rPr>
              <w:t xml:space="preserve">Wages </w:t>
            </w:r>
            <w:r w:rsidRPr="002F11F5">
              <w:rPr>
                <w:kern w:val="16"/>
                <w:sz w:val="18"/>
                <w:szCs w:val="18"/>
                <w:lang w:val="en-GB"/>
              </w:rPr>
              <w:t xml:space="preserve">(nominal growth, </w:t>
            </w:r>
            <w:proofErr w:type="spellStart"/>
            <w:r w:rsidRPr="002F11F5">
              <w:rPr>
                <w:kern w:val="16"/>
                <w:sz w:val="18"/>
                <w:szCs w:val="18"/>
                <w:lang w:val="en-GB"/>
              </w:rPr>
              <w:t>yoy</w:t>
            </w:r>
            <w:proofErr w:type="spellEnd"/>
            <w:r w:rsidRPr="002F11F5">
              <w:rPr>
                <w:kern w:val="16"/>
                <w:sz w:val="18"/>
                <w:szCs w:val="18"/>
                <w:lang w:val="en-GB"/>
              </w:rPr>
              <w:t xml:space="preserve"> in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B14A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22BF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8DE26F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4.2</w:t>
            </w:r>
          </w:p>
        </w:tc>
      </w:tr>
      <w:tr w:rsidR="00654CC6" w:rsidRPr="002F11F5" w14:paraId="1B073F3A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F7DB60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b/>
                <w:bCs/>
                <w:kern w:val="16"/>
                <w:sz w:val="18"/>
                <w:szCs w:val="18"/>
                <w:lang w:val="en-GB"/>
              </w:rPr>
              <w:t xml:space="preserve">Unemployment rate </w:t>
            </w:r>
            <w:r w:rsidRPr="002F11F5">
              <w:rPr>
                <w:kern w:val="16"/>
                <w:sz w:val="18"/>
                <w:szCs w:val="18"/>
                <w:lang w:val="en-GB"/>
              </w:rPr>
              <w:t>(MPSV, average, in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7D7ED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8813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5806BD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3.6</w:t>
            </w:r>
          </w:p>
        </w:tc>
      </w:tr>
      <w:tr w:rsidR="00654CC6" w:rsidRPr="002F11F5" w14:paraId="5D44C406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116140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b/>
                <w:bCs/>
                <w:kern w:val="16"/>
                <w:sz w:val="18"/>
                <w:szCs w:val="18"/>
                <w:lang w:val="en-GB"/>
              </w:rPr>
              <w:t xml:space="preserve">Inflation </w:t>
            </w:r>
            <w:r w:rsidRPr="002F11F5">
              <w:rPr>
                <w:kern w:val="16"/>
                <w:sz w:val="18"/>
                <w:szCs w:val="18"/>
                <w:lang w:val="en-GB"/>
              </w:rPr>
              <w:t>(average in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C8B2C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3F64C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0C8485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2.4</w:t>
            </w:r>
          </w:p>
        </w:tc>
      </w:tr>
      <w:tr w:rsidR="00654CC6" w:rsidRPr="002F11F5" w14:paraId="602F3D7E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2105A1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  <w:t xml:space="preserve">3M PRIBOR </w:t>
            </w:r>
            <w:r w:rsidRPr="002F11F5">
              <w:rPr>
                <w:rFonts w:eastAsia="Times New Roman"/>
                <w:bCs/>
                <w:kern w:val="16"/>
                <w:sz w:val="18"/>
                <w:szCs w:val="18"/>
                <w:lang w:val="en-GB" w:eastAsia="cs-CZ"/>
              </w:rPr>
              <w:t>(average)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1B719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A0A1A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A28758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1.9</w:t>
            </w:r>
          </w:p>
        </w:tc>
      </w:tr>
      <w:tr w:rsidR="00654CC6" w:rsidRPr="002F11F5" w14:paraId="4E15D593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56F4CD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  <w:t xml:space="preserve">2W Repo </w:t>
            </w:r>
            <w:r w:rsidRPr="002F11F5">
              <w:rPr>
                <w:rFonts w:eastAsia="Times New Roman"/>
                <w:bCs/>
                <w:kern w:val="16"/>
                <w:sz w:val="18"/>
                <w:szCs w:val="18"/>
                <w:lang w:val="en-GB" w:eastAsia="cs-CZ"/>
              </w:rPr>
              <w:t>(average)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10C7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4D87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450678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1.8</w:t>
            </w:r>
          </w:p>
        </w:tc>
      </w:tr>
      <w:tr w:rsidR="00654CC6" w:rsidRPr="002F11F5" w14:paraId="423CC269" w14:textId="77777777" w:rsidTr="00654CC6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6AF5A25" w14:textId="77777777" w:rsidR="00654CC6" w:rsidRPr="002F11F5" w:rsidRDefault="00654CC6" w:rsidP="008F4FB7">
            <w:pPr>
              <w:spacing w:line="240" w:lineRule="auto"/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2F11F5">
              <w:rPr>
                <w:rFonts w:eastAsia="Times New Roman"/>
                <w:b/>
                <w:bCs/>
                <w:kern w:val="16"/>
                <w:sz w:val="18"/>
                <w:szCs w:val="18"/>
                <w:lang w:val="en-GB" w:eastAsia="cs-CZ"/>
              </w:rPr>
              <w:t xml:space="preserve">CZK/EUR </w:t>
            </w:r>
            <w:r w:rsidRPr="002F11F5">
              <w:rPr>
                <w:rFonts w:eastAsia="Times New Roman"/>
                <w:bCs/>
                <w:kern w:val="16"/>
                <w:sz w:val="18"/>
                <w:szCs w:val="18"/>
                <w:lang w:val="en-GB" w:eastAsia="cs-CZ"/>
              </w:rPr>
              <w:t>(average)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0220CF2" w14:textId="77777777" w:rsidR="00654CC6" w:rsidRPr="002F11F5" w:rsidRDefault="00654CC6" w:rsidP="00F86255">
            <w:pPr>
              <w:jc w:val="right"/>
              <w:rPr>
                <w:sz w:val="18"/>
                <w:szCs w:val="18"/>
                <w:lang w:val="en-GB"/>
              </w:rPr>
            </w:pPr>
            <w:r w:rsidRPr="002F11F5">
              <w:rPr>
                <w:sz w:val="18"/>
                <w:szCs w:val="18"/>
                <w:lang w:val="en-GB"/>
              </w:rPr>
              <w:t>26.5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55748AD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25.6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708BE77E" w14:textId="77777777" w:rsidR="00654CC6" w:rsidRPr="002F11F5" w:rsidRDefault="00654CC6" w:rsidP="00F86255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F11F5">
              <w:rPr>
                <w:b/>
                <w:bCs/>
                <w:sz w:val="18"/>
                <w:szCs w:val="18"/>
                <w:lang w:val="en-GB"/>
              </w:rPr>
              <w:t>24.9</w:t>
            </w:r>
          </w:p>
        </w:tc>
      </w:tr>
    </w:tbl>
    <w:p w14:paraId="2FFB16E1" w14:textId="77777777" w:rsidR="002A4A29" w:rsidRPr="002F11F5" w:rsidRDefault="00654CC6" w:rsidP="002A4A29">
      <w:pPr>
        <w:pStyle w:val="SourceLarge"/>
        <w:spacing w:after="0"/>
      </w:pPr>
      <w:r w:rsidRPr="002F11F5">
        <w:t xml:space="preserve">Source: CSO, CNB, Ministry of Labour and Social Affairs, </w:t>
      </w:r>
      <w:proofErr w:type="spellStart"/>
      <w:r w:rsidRPr="002F11F5">
        <w:t>Macrobond</w:t>
      </w:r>
      <w:proofErr w:type="spellEnd"/>
      <w:r w:rsidRPr="002F11F5">
        <w:t>, Economic and Strategic Research, Komerční banka</w:t>
      </w:r>
    </w:p>
    <w:p w14:paraId="4EA97C52" w14:textId="77777777" w:rsidR="002A4A29" w:rsidRPr="002F11F5" w:rsidRDefault="002A4A29" w:rsidP="002A4A29">
      <w:pPr>
        <w:spacing w:line="240" w:lineRule="auto"/>
        <w:rPr>
          <w:b/>
          <w:color w:val="000000"/>
          <w:sz w:val="10"/>
          <w:szCs w:val="10"/>
          <w:lang w:val="en-GB"/>
        </w:rPr>
      </w:pPr>
    </w:p>
    <w:p w14:paraId="571333AC" w14:textId="77777777" w:rsidR="002A4A29" w:rsidRPr="002F11F5" w:rsidRDefault="002A4A29" w:rsidP="002A4A29">
      <w:pPr>
        <w:rPr>
          <w:b/>
          <w:color w:val="000000"/>
          <w:lang w:val="en-GB"/>
        </w:rPr>
      </w:pPr>
    </w:p>
    <w:p w14:paraId="16B23E2E" w14:textId="77777777" w:rsidR="002A4A29" w:rsidRPr="002F11F5" w:rsidRDefault="000D4A02" w:rsidP="000C1449">
      <w:pPr>
        <w:spacing w:line="240" w:lineRule="auto"/>
        <w:rPr>
          <w:b/>
          <w:color w:val="000000"/>
          <w:lang w:val="en-GB"/>
        </w:rPr>
      </w:pPr>
      <w:r w:rsidRPr="002F11F5">
        <w:rPr>
          <w:b/>
          <w:color w:val="000000"/>
          <w:lang w:val="en-GB"/>
        </w:rPr>
        <w:t>Jan Vejmělek</w:t>
      </w:r>
    </w:p>
    <w:p w14:paraId="17196602" w14:textId="7901192F" w:rsidR="001937C0" w:rsidRPr="002F11F5" w:rsidRDefault="00654CC6" w:rsidP="008B6055">
      <w:pPr>
        <w:spacing w:line="240" w:lineRule="auto"/>
        <w:rPr>
          <w:rStyle w:val="Siln"/>
          <w:b w:val="0"/>
          <w:color w:val="E60028" w:themeColor="accent2"/>
          <w:lang w:val="en-GB"/>
        </w:rPr>
      </w:pPr>
      <w:r w:rsidRPr="002F11F5">
        <w:rPr>
          <w:color w:val="000000"/>
          <w:lang w:val="en-GB"/>
        </w:rPr>
        <w:t>Chief Economist</w:t>
      </w:r>
      <w:r w:rsidR="008B6055">
        <w:rPr>
          <w:color w:val="000000"/>
          <w:lang w:val="en-GB"/>
        </w:rPr>
        <w:t xml:space="preserve">, </w:t>
      </w:r>
      <w:r w:rsidR="002A4A29" w:rsidRPr="002F11F5">
        <w:rPr>
          <w:color w:val="000000"/>
          <w:lang w:val="en-GB"/>
        </w:rPr>
        <w:t>Komerční bank</w:t>
      </w:r>
      <w:r w:rsidRPr="002F11F5">
        <w:rPr>
          <w:color w:val="000000"/>
          <w:lang w:val="en-GB"/>
        </w:rPr>
        <w:t>a</w:t>
      </w:r>
      <w:r w:rsidR="008B6055">
        <w:rPr>
          <w:color w:val="000000"/>
          <w:lang w:val="en-GB"/>
        </w:rPr>
        <w:t xml:space="preserve">, </w:t>
      </w:r>
      <w:r w:rsidRPr="002F11F5">
        <w:rPr>
          <w:lang w:val="en-GB"/>
        </w:rPr>
        <w:t>T</w:t>
      </w:r>
      <w:r w:rsidR="002A4A29" w:rsidRPr="002F11F5">
        <w:rPr>
          <w:lang w:val="en-GB"/>
        </w:rPr>
        <w:t>el.: +420 222 008 568</w:t>
      </w:r>
      <w:r w:rsidR="0046389D" w:rsidRPr="002F11F5">
        <w:rPr>
          <w:lang w:val="en-GB"/>
        </w:rPr>
        <w:t>,</w:t>
      </w:r>
      <w:r w:rsidR="008B6055">
        <w:rPr>
          <w:lang w:val="en-GB"/>
        </w:rPr>
        <w:t xml:space="preserve"> </w:t>
      </w:r>
      <w:hyperlink r:id="rId11" w:history="1">
        <w:r w:rsidR="000C1449" w:rsidRPr="002F11F5">
          <w:rPr>
            <w:rStyle w:val="Hypertextovodkaz"/>
            <w:color w:val="E60028" w:themeColor="accent2"/>
            <w:u w:val="none"/>
            <w:lang w:val="en-GB"/>
          </w:rPr>
          <w:t>jan_vejmelek@kb.cz</w:t>
        </w:r>
      </w:hyperlink>
    </w:p>
    <w:sectPr w:rsidR="001937C0" w:rsidRPr="002F11F5" w:rsidSect="009A2F84">
      <w:headerReference w:type="default" r:id="rId12"/>
      <w:footerReference w:type="default" r:id="rId13"/>
      <w:pgSz w:w="11906" w:h="16838" w:code="9"/>
      <w:pgMar w:top="3800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6D33" w14:textId="77777777" w:rsidR="007C2E53" w:rsidRDefault="007C2E53">
      <w:pPr>
        <w:spacing w:line="240" w:lineRule="auto"/>
      </w:pPr>
      <w:r>
        <w:separator/>
      </w:r>
    </w:p>
  </w:endnote>
  <w:endnote w:type="continuationSeparator" w:id="0">
    <w:p w14:paraId="6B609D43" w14:textId="77777777" w:rsidR="007C2E53" w:rsidRDefault="007C2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CE Medium">
    <w:altName w:val="Arial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40F3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5A985B34" w14:textId="77777777" w:rsidR="0025724D" w:rsidRPr="0032179D" w:rsidRDefault="082246FC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DDD99DD" wp14:editId="79647AD7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724D">
      <w:rPr>
        <w:sz w:val="12"/>
        <w:szCs w:val="12"/>
      </w:rPr>
      <w:tab/>
    </w:r>
    <w:r w:rsidR="00AD5D28" w:rsidRPr="00322610">
      <w:rPr>
        <w:color w:val="A7A9AC"/>
      </w:rPr>
      <w:fldChar w:fldCharType="begin"/>
    </w:r>
    <w:r w:rsidR="0025724D" w:rsidRPr="00322610">
      <w:rPr>
        <w:color w:val="A7A9AC"/>
      </w:rPr>
      <w:instrText xml:space="preserve"> PAGE   \* MERGEFORMAT </w:instrText>
    </w:r>
    <w:r w:rsidR="00AD5D28" w:rsidRPr="00322610">
      <w:rPr>
        <w:color w:val="A7A9AC"/>
      </w:rPr>
      <w:fldChar w:fldCharType="separate"/>
    </w:r>
    <w:r w:rsidR="002B565C">
      <w:rPr>
        <w:noProof/>
        <w:color w:val="A7A9AC"/>
      </w:rPr>
      <w:t>1</w:t>
    </w:r>
    <w:r w:rsidR="00AD5D28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FA69A6">
      <w:fldChar w:fldCharType="begin"/>
    </w:r>
    <w:r w:rsidR="00FA69A6">
      <w:instrText xml:space="preserve"> NUMPAGES   \* MERGEFORMAT </w:instrText>
    </w:r>
    <w:r w:rsidR="00FA69A6">
      <w:fldChar w:fldCharType="separate"/>
    </w:r>
    <w:r w:rsidR="002B565C" w:rsidRPr="002B565C">
      <w:rPr>
        <w:noProof/>
        <w:color w:val="A7A9AC"/>
      </w:rPr>
      <w:t>3</w:t>
    </w:r>
    <w:r w:rsidR="00FA69A6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074F" w14:textId="77777777" w:rsidR="007C2E53" w:rsidRDefault="007C2E53">
      <w:pPr>
        <w:spacing w:line="240" w:lineRule="auto"/>
      </w:pPr>
      <w:r>
        <w:separator/>
      </w:r>
    </w:p>
  </w:footnote>
  <w:footnote w:type="continuationSeparator" w:id="0">
    <w:p w14:paraId="12DD09C4" w14:textId="77777777" w:rsidR="007C2E53" w:rsidRDefault="007C2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D1A9" w14:textId="77777777" w:rsidR="00DC5CD5" w:rsidRDefault="00DC5CD5" w:rsidP="00DC5CD5">
    <w:pPr>
      <w:pStyle w:val="Zhlav"/>
      <w:jc w:val="right"/>
      <w:rPr>
        <w:b/>
        <w:color w:val="000000" w:themeColor="text1"/>
      </w:rPr>
    </w:pPr>
    <w:r>
      <w:rPr>
        <w:noProof/>
        <w:color w:val="A7A9AC"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0656317B" wp14:editId="33B4E5B8">
          <wp:simplePos x="0" y="0"/>
          <wp:positionH relativeFrom="column">
            <wp:posOffset>-930275</wp:posOffset>
          </wp:positionH>
          <wp:positionV relativeFrom="paragraph">
            <wp:posOffset>-387350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B0088D" w14:textId="77777777" w:rsidR="00DC5CD5" w:rsidRDefault="00DC5CD5" w:rsidP="00DC5CD5">
    <w:pPr>
      <w:pStyle w:val="Zhlav"/>
      <w:jc w:val="right"/>
      <w:rPr>
        <w:color w:val="A7A9AC"/>
        <w:sz w:val="24"/>
        <w:szCs w:val="24"/>
      </w:rPr>
    </w:pPr>
  </w:p>
  <w:p w14:paraId="7944DFFD" w14:textId="77777777" w:rsidR="00DC5CD5" w:rsidRDefault="00DC5CD5" w:rsidP="00DC5CD5">
    <w:pPr>
      <w:pStyle w:val="Zhlav"/>
      <w:jc w:val="right"/>
      <w:rPr>
        <w:color w:val="A7A9AC"/>
        <w:sz w:val="24"/>
        <w:szCs w:val="24"/>
      </w:rPr>
    </w:pPr>
  </w:p>
  <w:p w14:paraId="6251D3C9" w14:textId="77777777" w:rsidR="00DC5CD5" w:rsidRDefault="00DC5CD5" w:rsidP="00DC5CD5">
    <w:pPr>
      <w:pStyle w:val="Zhlav"/>
      <w:jc w:val="right"/>
      <w:rPr>
        <w:color w:val="A7A9AC"/>
        <w:sz w:val="24"/>
        <w:szCs w:val="24"/>
      </w:rPr>
    </w:pPr>
  </w:p>
  <w:p w14:paraId="7836AEFE" w14:textId="77777777" w:rsidR="00DC5CD5" w:rsidRDefault="00DC5CD5" w:rsidP="00DC5CD5">
    <w:pPr>
      <w:pStyle w:val="Zhlav"/>
      <w:jc w:val="right"/>
      <w:rPr>
        <w:color w:val="A7A9AC"/>
        <w:sz w:val="24"/>
        <w:szCs w:val="24"/>
      </w:rPr>
    </w:pPr>
  </w:p>
  <w:p w14:paraId="64E43278" w14:textId="77777777" w:rsidR="00DC5CD5" w:rsidRDefault="00DC5CD5" w:rsidP="00DC5CD5">
    <w:pPr>
      <w:pStyle w:val="Zhlav"/>
      <w:jc w:val="right"/>
      <w:rPr>
        <w:color w:val="A7A9AC"/>
        <w:sz w:val="24"/>
        <w:szCs w:val="24"/>
      </w:rPr>
    </w:pPr>
  </w:p>
  <w:p w14:paraId="21710A86" w14:textId="77777777" w:rsidR="00DC5CD5" w:rsidRDefault="00DC5CD5" w:rsidP="00DC5CD5">
    <w:pPr>
      <w:pStyle w:val="Zhlav"/>
      <w:jc w:val="right"/>
      <w:rPr>
        <w:color w:val="A7A9AC"/>
        <w:sz w:val="24"/>
        <w:szCs w:val="24"/>
      </w:rPr>
    </w:pPr>
  </w:p>
  <w:p w14:paraId="08AD83DC" w14:textId="77777777" w:rsidR="00DC5CD5" w:rsidRDefault="00DC5CD5" w:rsidP="00DC5CD5">
    <w:pPr>
      <w:pStyle w:val="Zhlav"/>
      <w:jc w:val="right"/>
      <w:rPr>
        <w:color w:val="A7A9AC"/>
        <w:sz w:val="24"/>
        <w:szCs w:val="24"/>
      </w:rPr>
    </w:pPr>
  </w:p>
  <w:p w14:paraId="03A845D9" w14:textId="2859DF53" w:rsidR="00DC5CD5" w:rsidRPr="00BD7498" w:rsidRDefault="00A4418E" w:rsidP="00DC5CD5">
    <w:pPr>
      <w:pStyle w:val="Zhlav"/>
      <w:jc w:val="right"/>
      <w:rPr>
        <w:color w:val="A7A9AC"/>
        <w:sz w:val="24"/>
        <w:szCs w:val="24"/>
      </w:rPr>
    </w:pPr>
    <w:r w:rsidRPr="005D49C1">
      <w:rPr>
        <w:color w:val="A7A9AC"/>
        <w:sz w:val="24"/>
        <w:szCs w:val="24"/>
      </w:rPr>
      <w:t>Pra</w:t>
    </w:r>
    <w:r w:rsidR="002F11F5">
      <w:rPr>
        <w:color w:val="A7A9AC"/>
        <w:sz w:val="24"/>
        <w:szCs w:val="24"/>
      </w:rPr>
      <w:t>gue</w:t>
    </w:r>
    <w:r w:rsidRPr="005D49C1">
      <w:rPr>
        <w:color w:val="A7A9AC"/>
        <w:sz w:val="24"/>
        <w:szCs w:val="24"/>
      </w:rPr>
      <w:t xml:space="preserve">, </w:t>
    </w:r>
    <w:r w:rsidR="005D49C1" w:rsidRPr="005D49C1">
      <w:rPr>
        <w:color w:val="A7A9AC"/>
        <w:sz w:val="24"/>
        <w:szCs w:val="24"/>
      </w:rPr>
      <w:t>2</w:t>
    </w:r>
    <w:r w:rsidR="00876981">
      <w:rPr>
        <w:color w:val="A7A9AC"/>
        <w:sz w:val="24"/>
        <w:szCs w:val="24"/>
      </w:rPr>
      <w:t>8</w:t>
    </w:r>
    <w:r w:rsidR="00DC5CD5" w:rsidRPr="005D49C1">
      <w:rPr>
        <w:color w:val="A7A9AC"/>
        <w:sz w:val="24"/>
        <w:szCs w:val="24"/>
      </w:rPr>
      <w:t xml:space="preserve"> </w:t>
    </w:r>
    <w:r w:rsidR="002F11F5">
      <w:rPr>
        <w:color w:val="A7A9AC"/>
        <w:sz w:val="24"/>
        <w:szCs w:val="24"/>
      </w:rPr>
      <w:t>July</w:t>
    </w:r>
    <w:r w:rsidR="005D49C1" w:rsidRPr="005D49C1">
      <w:rPr>
        <w:color w:val="A7A9AC"/>
        <w:sz w:val="24"/>
        <w:szCs w:val="24"/>
      </w:rPr>
      <w:t xml:space="preserve"> </w:t>
    </w:r>
    <w:r w:rsidR="00DC5CD5" w:rsidRPr="005D49C1">
      <w:rPr>
        <w:color w:val="A7A9AC"/>
        <w:sz w:val="24"/>
        <w:szCs w:val="24"/>
      </w:rPr>
      <w:t>202</w:t>
    </w:r>
    <w:r w:rsidR="00F547D1">
      <w:rPr>
        <w:color w:val="A7A9AC"/>
        <w:sz w:val="24"/>
        <w:szCs w:val="24"/>
      </w:rPr>
      <w:t>1</w:t>
    </w:r>
  </w:p>
  <w:p w14:paraId="698C4EC6" w14:textId="77777777" w:rsidR="00DC5CD5" w:rsidRDefault="00DC5CD5" w:rsidP="00DC5CD5"/>
  <w:p w14:paraId="46B703EE" w14:textId="77777777" w:rsidR="007371DA" w:rsidRPr="00DC5CD5" w:rsidRDefault="007371DA" w:rsidP="00DC5C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AwMTc0MjOyNDEwNTZQ0lEKTi0uzszPAykwqgUA22y9TSwAAAA="/>
  </w:docVars>
  <w:rsids>
    <w:rsidRoot w:val="00070E74"/>
    <w:rsid w:val="000002A9"/>
    <w:rsid w:val="00003FB6"/>
    <w:rsid w:val="00027A0B"/>
    <w:rsid w:val="00027C8D"/>
    <w:rsid w:val="00032DB2"/>
    <w:rsid w:val="0003398E"/>
    <w:rsid w:val="00034266"/>
    <w:rsid w:val="000350D1"/>
    <w:rsid w:val="000378E3"/>
    <w:rsid w:val="00040221"/>
    <w:rsid w:val="000407BE"/>
    <w:rsid w:val="00041E39"/>
    <w:rsid w:val="0004378C"/>
    <w:rsid w:val="000465BB"/>
    <w:rsid w:val="0004694C"/>
    <w:rsid w:val="00046ACF"/>
    <w:rsid w:val="000507BC"/>
    <w:rsid w:val="000515FC"/>
    <w:rsid w:val="00051846"/>
    <w:rsid w:val="00053F52"/>
    <w:rsid w:val="000560E0"/>
    <w:rsid w:val="00067B57"/>
    <w:rsid w:val="00070E74"/>
    <w:rsid w:val="0007165D"/>
    <w:rsid w:val="00072F3E"/>
    <w:rsid w:val="00074A8A"/>
    <w:rsid w:val="00077985"/>
    <w:rsid w:val="0008303F"/>
    <w:rsid w:val="000850E4"/>
    <w:rsid w:val="000869B0"/>
    <w:rsid w:val="0009001F"/>
    <w:rsid w:val="00092D45"/>
    <w:rsid w:val="000935E3"/>
    <w:rsid w:val="00097E3B"/>
    <w:rsid w:val="000A2E69"/>
    <w:rsid w:val="000A38ED"/>
    <w:rsid w:val="000A7016"/>
    <w:rsid w:val="000B56D6"/>
    <w:rsid w:val="000B7FA9"/>
    <w:rsid w:val="000C0C31"/>
    <w:rsid w:val="000C123A"/>
    <w:rsid w:val="000C1449"/>
    <w:rsid w:val="000C5D34"/>
    <w:rsid w:val="000C7C06"/>
    <w:rsid w:val="000D3BB3"/>
    <w:rsid w:val="000D3C5C"/>
    <w:rsid w:val="000D4A02"/>
    <w:rsid w:val="000D5D6E"/>
    <w:rsid w:val="000D7DB6"/>
    <w:rsid w:val="000E039B"/>
    <w:rsid w:val="000E04CC"/>
    <w:rsid w:val="000E117D"/>
    <w:rsid w:val="000E58C7"/>
    <w:rsid w:val="000E6584"/>
    <w:rsid w:val="000F5104"/>
    <w:rsid w:val="000F5276"/>
    <w:rsid w:val="000F5B6E"/>
    <w:rsid w:val="00102FF7"/>
    <w:rsid w:val="00105BC7"/>
    <w:rsid w:val="00106510"/>
    <w:rsid w:val="00106C98"/>
    <w:rsid w:val="00113A67"/>
    <w:rsid w:val="00115391"/>
    <w:rsid w:val="001163EC"/>
    <w:rsid w:val="001175E4"/>
    <w:rsid w:val="00123B40"/>
    <w:rsid w:val="00126E72"/>
    <w:rsid w:val="00127474"/>
    <w:rsid w:val="001309FF"/>
    <w:rsid w:val="00133BBF"/>
    <w:rsid w:val="0013455E"/>
    <w:rsid w:val="00136236"/>
    <w:rsid w:val="001417B3"/>
    <w:rsid w:val="00147AFD"/>
    <w:rsid w:val="00156FA5"/>
    <w:rsid w:val="0016772C"/>
    <w:rsid w:val="00170638"/>
    <w:rsid w:val="001716C0"/>
    <w:rsid w:val="00174643"/>
    <w:rsid w:val="00175819"/>
    <w:rsid w:val="001766CE"/>
    <w:rsid w:val="00180CF6"/>
    <w:rsid w:val="001811B5"/>
    <w:rsid w:val="001852DF"/>
    <w:rsid w:val="0018735D"/>
    <w:rsid w:val="00193645"/>
    <w:rsid w:val="001937C0"/>
    <w:rsid w:val="00193F64"/>
    <w:rsid w:val="00195BF0"/>
    <w:rsid w:val="00197048"/>
    <w:rsid w:val="001970FC"/>
    <w:rsid w:val="001A2860"/>
    <w:rsid w:val="001A3B4A"/>
    <w:rsid w:val="001A440E"/>
    <w:rsid w:val="001A5D26"/>
    <w:rsid w:val="001A6DFA"/>
    <w:rsid w:val="001B429A"/>
    <w:rsid w:val="001C2EC2"/>
    <w:rsid w:val="001C59FE"/>
    <w:rsid w:val="001D11A6"/>
    <w:rsid w:val="001D39F7"/>
    <w:rsid w:val="001D4697"/>
    <w:rsid w:val="001D4E0D"/>
    <w:rsid w:val="001D7C1E"/>
    <w:rsid w:val="001E0817"/>
    <w:rsid w:val="001E0E6F"/>
    <w:rsid w:val="001E1E10"/>
    <w:rsid w:val="001E2CFF"/>
    <w:rsid w:val="001E3EC2"/>
    <w:rsid w:val="001E5197"/>
    <w:rsid w:val="001F243B"/>
    <w:rsid w:val="001F528F"/>
    <w:rsid w:val="001F5962"/>
    <w:rsid w:val="001F6832"/>
    <w:rsid w:val="00202327"/>
    <w:rsid w:val="0020569E"/>
    <w:rsid w:val="00206766"/>
    <w:rsid w:val="0021215A"/>
    <w:rsid w:val="00213923"/>
    <w:rsid w:val="00213E0C"/>
    <w:rsid w:val="002165B7"/>
    <w:rsid w:val="00216B51"/>
    <w:rsid w:val="00217358"/>
    <w:rsid w:val="0021793D"/>
    <w:rsid w:val="00220BB8"/>
    <w:rsid w:val="00224102"/>
    <w:rsid w:val="002252B0"/>
    <w:rsid w:val="002276CD"/>
    <w:rsid w:val="002303D4"/>
    <w:rsid w:val="0023044C"/>
    <w:rsid w:val="00230D98"/>
    <w:rsid w:val="00235B2B"/>
    <w:rsid w:val="00237337"/>
    <w:rsid w:val="002400F6"/>
    <w:rsid w:val="002439D4"/>
    <w:rsid w:val="00244E48"/>
    <w:rsid w:val="0024739F"/>
    <w:rsid w:val="00250679"/>
    <w:rsid w:val="002512CE"/>
    <w:rsid w:val="00255130"/>
    <w:rsid w:val="00255EBA"/>
    <w:rsid w:val="0025724D"/>
    <w:rsid w:val="002608C8"/>
    <w:rsid w:val="002611A0"/>
    <w:rsid w:val="00261D42"/>
    <w:rsid w:val="002645AF"/>
    <w:rsid w:val="00265C05"/>
    <w:rsid w:val="00272587"/>
    <w:rsid w:val="00272A29"/>
    <w:rsid w:val="00272D3B"/>
    <w:rsid w:val="0027559E"/>
    <w:rsid w:val="00275723"/>
    <w:rsid w:val="00276A42"/>
    <w:rsid w:val="00276A6B"/>
    <w:rsid w:val="002772D2"/>
    <w:rsid w:val="00277452"/>
    <w:rsid w:val="00291B06"/>
    <w:rsid w:val="0029294E"/>
    <w:rsid w:val="0029774F"/>
    <w:rsid w:val="002A056B"/>
    <w:rsid w:val="002A3F1D"/>
    <w:rsid w:val="002A3F2B"/>
    <w:rsid w:val="002A4867"/>
    <w:rsid w:val="002A4A29"/>
    <w:rsid w:val="002A507A"/>
    <w:rsid w:val="002B1B84"/>
    <w:rsid w:val="002B565C"/>
    <w:rsid w:val="002C00E8"/>
    <w:rsid w:val="002C2375"/>
    <w:rsid w:val="002C39F3"/>
    <w:rsid w:val="002D3988"/>
    <w:rsid w:val="002D3A50"/>
    <w:rsid w:val="002D5251"/>
    <w:rsid w:val="002D7800"/>
    <w:rsid w:val="002E1944"/>
    <w:rsid w:val="002E305F"/>
    <w:rsid w:val="002E768E"/>
    <w:rsid w:val="002F0B75"/>
    <w:rsid w:val="002F11F5"/>
    <w:rsid w:val="002F1DA5"/>
    <w:rsid w:val="002F2407"/>
    <w:rsid w:val="002F24AC"/>
    <w:rsid w:val="002F57E6"/>
    <w:rsid w:val="002F7DEA"/>
    <w:rsid w:val="00305512"/>
    <w:rsid w:val="003104B9"/>
    <w:rsid w:val="00310CE8"/>
    <w:rsid w:val="00310D3E"/>
    <w:rsid w:val="00310EC9"/>
    <w:rsid w:val="003170B9"/>
    <w:rsid w:val="003206BC"/>
    <w:rsid w:val="00320C2F"/>
    <w:rsid w:val="003215F5"/>
    <w:rsid w:val="00325E8C"/>
    <w:rsid w:val="0033563D"/>
    <w:rsid w:val="00340428"/>
    <w:rsid w:val="00342A4D"/>
    <w:rsid w:val="00344398"/>
    <w:rsid w:val="00347C56"/>
    <w:rsid w:val="00351BBA"/>
    <w:rsid w:val="00352684"/>
    <w:rsid w:val="0035587D"/>
    <w:rsid w:val="00357E5F"/>
    <w:rsid w:val="0036180A"/>
    <w:rsid w:val="00367403"/>
    <w:rsid w:val="00367B6F"/>
    <w:rsid w:val="0037045E"/>
    <w:rsid w:val="00373BB3"/>
    <w:rsid w:val="00384EC2"/>
    <w:rsid w:val="0038737C"/>
    <w:rsid w:val="00390A4A"/>
    <w:rsid w:val="00391412"/>
    <w:rsid w:val="00391CAF"/>
    <w:rsid w:val="0039466C"/>
    <w:rsid w:val="00394B5B"/>
    <w:rsid w:val="003973E5"/>
    <w:rsid w:val="003A0654"/>
    <w:rsid w:val="003A28A7"/>
    <w:rsid w:val="003A60F0"/>
    <w:rsid w:val="003B057F"/>
    <w:rsid w:val="003B3E61"/>
    <w:rsid w:val="003B4BD4"/>
    <w:rsid w:val="003B6A2B"/>
    <w:rsid w:val="003C15E8"/>
    <w:rsid w:val="003C25A8"/>
    <w:rsid w:val="003C3243"/>
    <w:rsid w:val="003C3BA9"/>
    <w:rsid w:val="003C6D6F"/>
    <w:rsid w:val="003C6D8E"/>
    <w:rsid w:val="003D0DA9"/>
    <w:rsid w:val="003D32CF"/>
    <w:rsid w:val="003D3770"/>
    <w:rsid w:val="003D50CA"/>
    <w:rsid w:val="003D658A"/>
    <w:rsid w:val="003F17D6"/>
    <w:rsid w:val="003F5E67"/>
    <w:rsid w:val="00401549"/>
    <w:rsid w:val="00404473"/>
    <w:rsid w:val="004062E6"/>
    <w:rsid w:val="0041138F"/>
    <w:rsid w:val="0041439A"/>
    <w:rsid w:val="004157E1"/>
    <w:rsid w:val="004215A9"/>
    <w:rsid w:val="00433C93"/>
    <w:rsid w:val="004341F5"/>
    <w:rsid w:val="00435153"/>
    <w:rsid w:val="0043530B"/>
    <w:rsid w:val="004437EA"/>
    <w:rsid w:val="00443B87"/>
    <w:rsid w:val="0044654B"/>
    <w:rsid w:val="00456652"/>
    <w:rsid w:val="0046301D"/>
    <w:rsid w:val="0046389D"/>
    <w:rsid w:val="00465896"/>
    <w:rsid w:val="0046660E"/>
    <w:rsid w:val="00472864"/>
    <w:rsid w:val="004729D3"/>
    <w:rsid w:val="00475AC0"/>
    <w:rsid w:val="00482F4F"/>
    <w:rsid w:val="00484A41"/>
    <w:rsid w:val="00492C80"/>
    <w:rsid w:val="0049576F"/>
    <w:rsid w:val="0049675B"/>
    <w:rsid w:val="004969AC"/>
    <w:rsid w:val="004A19AF"/>
    <w:rsid w:val="004A4757"/>
    <w:rsid w:val="004B2218"/>
    <w:rsid w:val="004B3817"/>
    <w:rsid w:val="004B50C2"/>
    <w:rsid w:val="004B6C57"/>
    <w:rsid w:val="004C0EE0"/>
    <w:rsid w:val="004C6292"/>
    <w:rsid w:val="004D301D"/>
    <w:rsid w:val="004D410D"/>
    <w:rsid w:val="004D60A5"/>
    <w:rsid w:val="004D6FC6"/>
    <w:rsid w:val="004E0422"/>
    <w:rsid w:val="004E6EBC"/>
    <w:rsid w:val="004F1277"/>
    <w:rsid w:val="004F204A"/>
    <w:rsid w:val="004F5526"/>
    <w:rsid w:val="00504235"/>
    <w:rsid w:val="00505F9E"/>
    <w:rsid w:val="00507852"/>
    <w:rsid w:val="00512509"/>
    <w:rsid w:val="00517F5E"/>
    <w:rsid w:val="005222F3"/>
    <w:rsid w:val="0052297F"/>
    <w:rsid w:val="00524E8A"/>
    <w:rsid w:val="00525D94"/>
    <w:rsid w:val="005307D6"/>
    <w:rsid w:val="0053168C"/>
    <w:rsid w:val="0053219D"/>
    <w:rsid w:val="00534D2A"/>
    <w:rsid w:val="00540297"/>
    <w:rsid w:val="00541113"/>
    <w:rsid w:val="00541FA6"/>
    <w:rsid w:val="00546259"/>
    <w:rsid w:val="00551982"/>
    <w:rsid w:val="00551B4C"/>
    <w:rsid w:val="00553B9F"/>
    <w:rsid w:val="00556CE4"/>
    <w:rsid w:val="00565F9F"/>
    <w:rsid w:val="00571902"/>
    <w:rsid w:val="00573636"/>
    <w:rsid w:val="00573B1A"/>
    <w:rsid w:val="005768DC"/>
    <w:rsid w:val="0057779C"/>
    <w:rsid w:val="00580EFB"/>
    <w:rsid w:val="00586E93"/>
    <w:rsid w:val="00590EC4"/>
    <w:rsid w:val="0059171E"/>
    <w:rsid w:val="00593D9D"/>
    <w:rsid w:val="00594078"/>
    <w:rsid w:val="005A591B"/>
    <w:rsid w:val="005B1BFE"/>
    <w:rsid w:val="005B5AD7"/>
    <w:rsid w:val="005B7113"/>
    <w:rsid w:val="005C0221"/>
    <w:rsid w:val="005D08B1"/>
    <w:rsid w:val="005D0A7B"/>
    <w:rsid w:val="005D1C0A"/>
    <w:rsid w:val="005D3906"/>
    <w:rsid w:val="005D3ECE"/>
    <w:rsid w:val="005D49C1"/>
    <w:rsid w:val="005E0613"/>
    <w:rsid w:val="005E6413"/>
    <w:rsid w:val="005F2E94"/>
    <w:rsid w:val="005F53F2"/>
    <w:rsid w:val="005F5EA6"/>
    <w:rsid w:val="00601866"/>
    <w:rsid w:val="0060334F"/>
    <w:rsid w:val="00622F14"/>
    <w:rsid w:val="0062419C"/>
    <w:rsid w:val="00626395"/>
    <w:rsid w:val="00626948"/>
    <w:rsid w:val="0062764C"/>
    <w:rsid w:val="0063043E"/>
    <w:rsid w:val="00630C42"/>
    <w:rsid w:val="00631588"/>
    <w:rsid w:val="006408B9"/>
    <w:rsid w:val="00642980"/>
    <w:rsid w:val="00651197"/>
    <w:rsid w:val="006522F8"/>
    <w:rsid w:val="00654CC6"/>
    <w:rsid w:val="0065541E"/>
    <w:rsid w:val="006574AB"/>
    <w:rsid w:val="00657D19"/>
    <w:rsid w:val="00665F24"/>
    <w:rsid w:val="006732C4"/>
    <w:rsid w:val="006741C3"/>
    <w:rsid w:val="006749AC"/>
    <w:rsid w:val="00674AEA"/>
    <w:rsid w:val="00676E4F"/>
    <w:rsid w:val="00677FC9"/>
    <w:rsid w:val="00680922"/>
    <w:rsid w:val="00681DF9"/>
    <w:rsid w:val="0068315D"/>
    <w:rsid w:val="00687BAE"/>
    <w:rsid w:val="006920F8"/>
    <w:rsid w:val="0069488C"/>
    <w:rsid w:val="0069647D"/>
    <w:rsid w:val="0069691C"/>
    <w:rsid w:val="00697E66"/>
    <w:rsid w:val="006A042C"/>
    <w:rsid w:val="006A1426"/>
    <w:rsid w:val="006A268E"/>
    <w:rsid w:val="006A4E38"/>
    <w:rsid w:val="006A7587"/>
    <w:rsid w:val="006B0032"/>
    <w:rsid w:val="006B2031"/>
    <w:rsid w:val="006B3683"/>
    <w:rsid w:val="006B6C18"/>
    <w:rsid w:val="006C1267"/>
    <w:rsid w:val="006C7299"/>
    <w:rsid w:val="006D2CF3"/>
    <w:rsid w:val="006E0F7C"/>
    <w:rsid w:val="006E11CB"/>
    <w:rsid w:val="006E18F8"/>
    <w:rsid w:val="006E60B5"/>
    <w:rsid w:val="006E6BAB"/>
    <w:rsid w:val="006E6E58"/>
    <w:rsid w:val="006E7E97"/>
    <w:rsid w:val="006F0728"/>
    <w:rsid w:val="006F0D04"/>
    <w:rsid w:val="007072B6"/>
    <w:rsid w:val="007152AA"/>
    <w:rsid w:val="00724D2F"/>
    <w:rsid w:val="00725D58"/>
    <w:rsid w:val="0072674C"/>
    <w:rsid w:val="00726A85"/>
    <w:rsid w:val="007301E6"/>
    <w:rsid w:val="00733AD7"/>
    <w:rsid w:val="00734EE4"/>
    <w:rsid w:val="0073573B"/>
    <w:rsid w:val="00735AA8"/>
    <w:rsid w:val="007371DA"/>
    <w:rsid w:val="00742683"/>
    <w:rsid w:val="0074358E"/>
    <w:rsid w:val="00747137"/>
    <w:rsid w:val="00750397"/>
    <w:rsid w:val="007506A4"/>
    <w:rsid w:val="00751F01"/>
    <w:rsid w:val="007526BF"/>
    <w:rsid w:val="0075364E"/>
    <w:rsid w:val="00755196"/>
    <w:rsid w:val="007551D2"/>
    <w:rsid w:val="00755359"/>
    <w:rsid w:val="0076104A"/>
    <w:rsid w:val="00766DCB"/>
    <w:rsid w:val="0077043E"/>
    <w:rsid w:val="00770765"/>
    <w:rsid w:val="00773C87"/>
    <w:rsid w:val="00774A05"/>
    <w:rsid w:val="00774CA9"/>
    <w:rsid w:val="007767A5"/>
    <w:rsid w:val="0078166F"/>
    <w:rsid w:val="00784598"/>
    <w:rsid w:val="0078571B"/>
    <w:rsid w:val="00786C52"/>
    <w:rsid w:val="0078733B"/>
    <w:rsid w:val="00793C3D"/>
    <w:rsid w:val="00797469"/>
    <w:rsid w:val="007A101A"/>
    <w:rsid w:val="007A5A49"/>
    <w:rsid w:val="007A6A1A"/>
    <w:rsid w:val="007B021A"/>
    <w:rsid w:val="007B0B1A"/>
    <w:rsid w:val="007B666E"/>
    <w:rsid w:val="007C2E53"/>
    <w:rsid w:val="007C3172"/>
    <w:rsid w:val="007D2EC3"/>
    <w:rsid w:val="007D4F54"/>
    <w:rsid w:val="007D7419"/>
    <w:rsid w:val="007E027B"/>
    <w:rsid w:val="007E1279"/>
    <w:rsid w:val="007E462F"/>
    <w:rsid w:val="007F0EFC"/>
    <w:rsid w:val="007F15E7"/>
    <w:rsid w:val="007F6737"/>
    <w:rsid w:val="007F690A"/>
    <w:rsid w:val="007F7588"/>
    <w:rsid w:val="007F7911"/>
    <w:rsid w:val="008024BE"/>
    <w:rsid w:val="00802800"/>
    <w:rsid w:val="00802B93"/>
    <w:rsid w:val="0080387D"/>
    <w:rsid w:val="008042DE"/>
    <w:rsid w:val="00811824"/>
    <w:rsid w:val="0081209B"/>
    <w:rsid w:val="008145BE"/>
    <w:rsid w:val="00820A89"/>
    <w:rsid w:val="008332FB"/>
    <w:rsid w:val="008454E0"/>
    <w:rsid w:val="0085552E"/>
    <w:rsid w:val="00856C85"/>
    <w:rsid w:val="00857686"/>
    <w:rsid w:val="00857E46"/>
    <w:rsid w:val="008603EF"/>
    <w:rsid w:val="00860926"/>
    <w:rsid w:val="0086260C"/>
    <w:rsid w:val="008705BF"/>
    <w:rsid w:val="00872C52"/>
    <w:rsid w:val="00874223"/>
    <w:rsid w:val="00874F9C"/>
    <w:rsid w:val="00876981"/>
    <w:rsid w:val="0088627E"/>
    <w:rsid w:val="008901CF"/>
    <w:rsid w:val="00892C60"/>
    <w:rsid w:val="0089398A"/>
    <w:rsid w:val="00895768"/>
    <w:rsid w:val="008A343C"/>
    <w:rsid w:val="008A3899"/>
    <w:rsid w:val="008A411B"/>
    <w:rsid w:val="008A5387"/>
    <w:rsid w:val="008B38D1"/>
    <w:rsid w:val="008B6055"/>
    <w:rsid w:val="008B6A69"/>
    <w:rsid w:val="008B6B69"/>
    <w:rsid w:val="008C4681"/>
    <w:rsid w:val="008C6557"/>
    <w:rsid w:val="008D0202"/>
    <w:rsid w:val="008D270F"/>
    <w:rsid w:val="008D5D22"/>
    <w:rsid w:val="008D653B"/>
    <w:rsid w:val="008D67AF"/>
    <w:rsid w:val="008D77C8"/>
    <w:rsid w:val="008E272A"/>
    <w:rsid w:val="008E46AD"/>
    <w:rsid w:val="008E652E"/>
    <w:rsid w:val="008F4BAE"/>
    <w:rsid w:val="008F6B21"/>
    <w:rsid w:val="008F6E87"/>
    <w:rsid w:val="009009E5"/>
    <w:rsid w:val="0090302B"/>
    <w:rsid w:val="0090383A"/>
    <w:rsid w:val="009046E6"/>
    <w:rsid w:val="00904C29"/>
    <w:rsid w:val="0090541F"/>
    <w:rsid w:val="00912A72"/>
    <w:rsid w:val="00912EDF"/>
    <w:rsid w:val="009154E3"/>
    <w:rsid w:val="00915821"/>
    <w:rsid w:val="00915972"/>
    <w:rsid w:val="00916D46"/>
    <w:rsid w:val="00920759"/>
    <w:rsid w:val="009224DC"/>
    <w:rsid w:val="00931572"/>
    <w:rsid w:val="009318FB"/>
    <w:rsid w:val="00932AB9"/>
    <w:rsid w:val="009369EE"/>
    <w:rsid w:val="009375B5"/>
    <w:rsid w:val="009424B6"/>
    <w:rsid w:val="00947261"/>
    <w:rsid w:val="00953626"/>
    <w:rsid w:val="0095402B"/>
    <w:rsid w:val="009540F5"/>
    <w:rsid w:val="00955338"/>
    <w:rsid w:val="00955553"/>
    <w:rsid w:val="0095619E"/>
    <w:rsid w:val="00960226"/>
    <w:rsid w:val="00961AF5"/>
    <w:rsid w:val="0096294E"/>
    <w:rsid w:val="00963B43"/>
    <w:rsid w:val="0096519E"/>
    <w:rsid w:val="0096715A"/>
    <w:rsid w:val="00967168"/>
    <w:rsid w:val="0097245E"/>
    <w:rsid w:val="00977222"/>
    <w:rsid w:val="00980D57"/>
    <w:rsid w:val="009874B2"/>
    <w:rsid w:val="009901C1"/>
    <w:rsid w:val="00993CFE"/>
    <w:rsid w:val="009A2F84"/>
    <w:rsid w:val="009A401B"/>
    <w:rsid w:val="009A6693"/>
    <w:rsid w:val="009B3D19"/>
    <w:rsid w:val="009B4655"/>
    <w:rsid w:val="009B679C"/>
    <w:rsid w:val="009B6D68"/>
    <w:rsid w:val="009B7C27"/>
    <w:rsid w:val="009C20A4"/>
    <w:rsid w:val="009C5A98"/>
    <w:rsid w:val="009C756F"/>
    <w:rsid w:val="009D2E47"/>
    <w:rsid w:val="009D6D29"/>
    <w:rsid w:val="009E0707"/>
    <w:rsid w:val="009E19FE"/>
    <w:rsid w:val="009E35C6"/>
    <w:rsid w:val="009E53C9"/>
    <w:rsid w:val="009E604A"/>
    <w:rsid w:val="009E61F9"/>
    <w:rsid w:val="009F0BBC"/>
    <w:rsid w:val="009F0E35"/>
    <w:rsid w:val="009F295B"/>
    <w:rsid w:val="009F2A4A"/>
    <w:rsid w:val="00A00B2C"/>
    <w:rsid w:val="00A0152C"/>
    <w:rsid w:val="00A0443D"/>
    <w:rsid w:val="00A14228"/>
    <w:rsid w:val="00A173B7"/>
    <w:rsid w:val="00A227A0"/>
    <w:rsid w:val="00A2493F"/>
    <w:rsid w:val="00A25BA1"/>
    <w:rsid w:val="00A33FC2"/>
    <w:rsid w:val="00A375ED"/>
    <w:rsid w:val="00A376E2"/>
    <w:rsid w:val="00A41809"/>
    <w:rsid w:val="00A43B5E"/>
    <w:rsid w:val="00A4418E"/>
    <w:rsid w:val="00A4601A"/>
    <w:rsid w:val="00A4788E"/>
    <w:rsid w:val="00A51084"/>
    <w:rsid w:val="00A535A2"/>
    <w:rsid w:val="00A559A0"/>
    <w:rsid w:val="00A63A91"/>
    <w:rsid w:val="00A641C9"/>
    <w:rsid w:val="00A662D1"/>
    <w:rsid w:val="00A70DE8"/>
    <w:rsid w:val="00A70FB9"/>
    <w:rsid w:val="00A737CC"/>
    <w:rsid w:val="00A738BA"/>
    <w:rsid w:val="00A84980"/>
    <w:rsid w:val="00A91817"/>
    <w:rsid w:val="00A94914"/>
    <w:rsid w:val="00A95AE0"/>
    <w:rsid w:val="00A9629B"/>
    <w:rsid w:val="00AA49D8"/>
    <w:rsid w:val="00AB0DBF"/>
    <w:rsid w:val="00AC436B"/>
    <w:rsid w:val="00AC483F"/>
    <w:rsid w:val="00AD52F9"/>
    <w:rsid w:val="00AD59EA"/>
    <w:rsid w:val="00AD5D26"/>
    <w:rsid w:val="00AD5D28"/>
    <w:rsid w:val="00AE0963"/>
    <w:rsid w:val="00AE0B0A"/>
    <w:rsid w:val="00AE32CA"/>
    <w:rsid w:val="00AE4910"/>
    <w:rsid w:val="00AE637B"/>
    <w:rsid w:val="00AE7C40"/>
    <w:rsid w:val="00AF0D7E"/>
    <w:rsid w:val="00AF35CE"/>
    <w:rsid w:val="00AF4C77"/>
    <w:rsid w:val="00AF4ED0"/>
    <w:rsid w:val="00AF5D7F"/>
    <w:rsid w:val="00B049AB"/>
    <w:rsid w:val="00B058EE"/>
    <w:rsid w:val="00B1391F"/>
    <w:rsid w:val="00B1508B"/>
    <w:rsid w:val="00B15554"/>
    <w:rsid w:val="00B17749"/>
    <w:rsid w:val="00B202A5"/>
    <w:rsid w:val="00B215BA"/>
    <w:rsid w:val="00B25E1A"/>
    <w:rsid w:val="00B27FFB"/>
    <w:rsid w:val="00B300D7"/>
    <w:rsid w:val="00B42869"/>
    <w:rsid w:val="00B43892"/>
    <w:rsid w:val="00B45077"/>
    <w:rsid w:val="00B4736F"/>
    <w:rsid w:val="00B504F6"/>
    <w:rsid w:val="00B52A75"/>
    <w:rsid w:val="00B5315B"/>
    <w:rsid w:val="00B55430"/>
    <w:rsid w:val="00B6076E"/>
    <w:rsid w:val="00B637E4"/>
    <w:rsid w:val="00B65F36"/>
    <w:rsid w:val="00B66DDA"/>
    <w:rsid w:val="00B674B9"/>
    <w:rsid w:val="00B77563"/>
    <w:rsid w:val="00B80488"/>
    <w:rsid w:val="00B805D7"/>
    <w:rsid w:val="00B80B9C"/>
    <w:rsid w:val="00B84BEE"/>
    <w:rsid w:val="00B86B79"/>
    <w:rsid w:val="00B86F0C"/>
    <w:rsid w:val="00B87F3E"/>
    <w:rsid w:val="00B97780"/>
    <w:rsid w:val="00BA0F73"/>
    <w:rsid w:val="00BA2DF9"/>
    <w:rsid w:val="00BA586E"/>
    <w:rsid w:val="00BA7265"/>
    <w:rsid w:val="00BA7B70"/>
    <w:rsid w:val="00BB1828"/>
    <w:rsid w:val="00BB21CA"/>
    <w:rsid w:val="00BC0998"/>
    <w:rsid w:val="00BC6835"/>
    <w:rsid w:val="00BC7BCF"/>
    <w:rsid w:val="00BD028F"/>
    <w:rsid w:val="00BD4127"/>
    <w:rsid w:val="00BD7498"/>
    <w:rsid w:val="00BF197F"/>
    <w:rsid w:val="00BF4897"/>
    <w:rsid w:val="00BF509F"/>
    <w:rsid w:val="00C02D58"/>
    <w:rsid w:val="00C04F73"/>
    <w:rsid w:val="00C07658"/>
    <w:rsid w:val="00C102B0"/>
    <w:rsid w:val="00C104A4"/>
    <w:rsid w:val="00C16DBC"/>
    <w:rsid w:val="00C17EEA"/>
    <w:rsid w:val="00C21FDD"/>
    <w:rsid w:val="00C4022C"/>
    <w:rsid w:val="00C4067E"/>
    <w:rsid w:val="00C41E7C"/>
    <w:rsid w:val="00C44032"/>
    <w:rsid w:val="00C44D73"/>
    <w:rsid w:val="00C52308"/>
    <w:rsid w:val="00C52FE8"/>
    <w:rsid w:val="00C625A4"/>
    <w:rsid w:val="00C710A0"/>
    <w:rsid w:val="00C7196E"/>
    <w:rsid w:val="00C80720"/>
    <w:rsid w:val="00C81FFD"/>
    <w:rsid w:val="00C85044"/>
    <w:rsid w:val="00C931CB"/>
    <w:rsid w:val="00C93440"/>
    <w:rsid w:val="00C9424D"/>
    <w:rsid w:val="00CA06A0"/>
    <w:rsid w:val="00CA08F2"/>
    <w:rsid w:val="00CA1E99"/>
    <w:rsid w:val="00CA59FD"/>
    <w:rsid w:val="00CB0BAF"/>
    <w:rsid w:val="00CB2D93"/>
    <w:rsid w:val="00CB504F"/>
    <w:rsid w:val="00CC0D59"/>
    <w:rsid w:val="00CC284A"/>
    <w:rsid w:val="00CC528B"/>
    <w:rsid w:val="00CC6F5A"/>
    <w:rsid w:val="00CD4319"/>
    <w:rsid w:val="00CD75A2"/>
    <w:rsid w:val="00CE0B9D"/>
    <w:rsid w:val="00CE3CEE"/>
    <w:rsid w:val="00CE4217"/>
    <w:rsid w:val="00CE427D"/>
    <w:rsid w:val="00CF0AF6"/>
    <w:rsid w:val="00CF2F1E"/>
    <w:rsid w:val="00CF2F73"/>
    <w:rsid w:val="00CF304B"/>
    <w:rsid w:val="00CF6E05"/>
    <w:rsid w:val="00CF79A7"/>
    <w:rsid w:val="00D00BE4"/>
    <w:rsid w:val="00D01430"/>
    <w:rsid w:val="00D03885"/>
    <w:rsid w:val="00D16F87"/>
    <w:rsid w:val="00D1719E"/>
    <w:rsid w:val="00D17815"/>
    <w:rsid w:val="00D21304"/>
    <w:rsid w:val="00D22B2C"/>
    <w:rsid w:val="00D24267"/>
    <w:rsid w:val="00D26371"/>
    <w:rsid w:val="00D32006"/>
    <w:rsid w:val="00D34371"/>
    <w:rsid w:val="00D40A5C"/>
    <w:rsid w:val="00D4124D"/>
    <w:rsid w:val="00D45A37"/>
    <w:rsid w:val="00D47D8D"/>
    <w:rsid w:val="00D514DA"/>
    <w:rsid w:val="00D518F0"/>
    <w:rsid w:val="00D51EC1"/>
    <w:rsid w:val="00D5225E"/>
    <w:rsid w:val="00D534DB"/>
    <w:rsid w:val="00D54897"/>
    <w:rsid w:val="00D55543"/>
    <w:rsid w:val="00D55A40"/>
    <w:rsid w:val="00D66380"/>
    <w:rsid w:val="00D70717"/>
    <w:rsid w:val="00D7113C"/>
    <w:rsid w:val="00D7141A"/>
    <w:rsid w:val="00D72525"/>
    <w:rsid w:val="00D7521F"/>
    <w:rsid w:val="00D82795"/>
    <w:rsid w:val="00D82A01"/>
    <w:rsid w:val="00D86CB9"/>
    <w:rsid w:val="00D90E97"/>
    <w:rsid w:val="00D9474E"/>
    <w:rsid w:val="00D96B91"/>
    <w:rsid w:val="00DA19B4"/>
    <w:rsid w:val="00DA3C64"/>
    <w:rsid w:val="00DA3E2B"/>
    <w:rsid w:val="00DA3E43"/>
    <w:rsid w:val="00DB08F3"/>
    <w:rsid w:val="00DC38E7"/>
    <w:rsid w:val="00DC5CD5"/>
    <w:rsid w:val="00DC6798"/>
    <w:rsid w:val="00DD2985"/>
    <w:rsid w:val="00DE05E9"/>
    <w:rsid w:val="00DE3BA1"/>
    <w:rsid w:val="00DE532F"/>
    <w:rsid w:val="00DF02AB"/>
    <w:rsid w:val="00DF5A2C"/>
    <w:rsid w:val="00DF68D3"/>
    <w:rsid w:val="00DF6B59"/>
    <w:rsid w:val="00DF6BDC"/>
    <w:rsid w:val="00E033F2"/>
    <w:rsid w:val="00E109CF"/>
    <w:rsid w:val="00E14FE5"/>
    <w:rsid w:val="00E239AE"/>
    <w:rsid w:val="00E24EEB"/>
    <w:rsid w:val="00E30780"/>
    <w:rsid w:val="00E37A05"/>
    <w:rsid w:val="00E40C2B"/>
    <w:rsid w:val="00E4205E"/>
    <w:rsid w:val="00E42188"/>
    <w:rsid w:val="00E42C59"/>
    <w:rsid w:val="00E431EC"/>
    <w:rsid w:val="00E4470A"/>
    <w:rsid w:val="00E44E17"/>
    <w:rsid w:val="00E46ACB"/>
    <w:rsid w:val="00E502EB"/>
    <w:rsid w:val="00E5060B"/>
    <w:rsid w:val="00E51CBC"/>
    <w:rsid w:val="00E52CE6"/>
    <w:rsid w:val="00E531EC"/>
    <w:rsid w:val="00E543C4"/>
    <w:rsid w:val="00E5501A"/>
    <w:rsid w:val="00E55C54"/>
    <w:rsid w:val="00E62036"/>
    <w:rsid w:val="00E64A63"/>
    <w:rsid w:val="00E64B8C"/>
    <w:rsid w:val="00E72DDB"/>
    <w:rsid w:val="00E734CD"/>
    <w:rsid w:val="00E7526D"/>
    <w:rsid w:val="00E77900"/>
    <w:rsid w:val="00E81C92"/>
    <w:rsid w:val="00E81CC4"/>
    <w:rsid w:val="00E8351F"/>
    <w:rsid w:val="00E85157"/>
    <w:rsid w:val="00E87D5E"/>
    <w:rsid w:val="00E9312B"/>
    <w:rsid w:val="00E9358E"/>
    <w:rsid w:val="00EA0B3E"/>
    <w:rsid w:val="00EA2AD6"/>
    <w:rsid w:val="00EA41E0"/>
    <w:rsid w:val="00EA4EDC"/>
    <w:rsid w:val="00EB1C1E"/>
    <w:rsid w:val="00EB3F44"/>
    <w:rsid w:val="00EB6A86"/>
    <w:rsid w:val="00EB70AD"/>
    <w:rsid w:val="00EC0029"/>
    <w:rsid w:val="00EC26DE"/>
    <w:rsid w:val="00EC28FF"/>
    <w:rsid w:val="00EC3AB9"/>
    <w:rsid w:val="00EC67E7"/>
    <w:rsid w:val="00ED08F8"/>
    <w:rsid w:val="00EE17BF"/>
    <w:rsid w:val="00EE20EA"/>
    <w:rsid w:val="00EE4372"/>
    <w:rsid w:val="00EE6218"/>
    <w:rsid w:val="00EF1A40"/>
    <w:rsid w:val="00EF46C0"/>
    <w:rsid w:val="00EF5B08"/>
    <w:rsid w:val="00EF5E4C"/>
    <w:rsid w:val="00F01475"/>
    <w:rsid w:val="00F061C9"/>
    <w:rsid w:val="00F07965"/>
    <w:rsid w:val="00F10433"/>
    <w:rsid w:val="00F1632B"/>
    <w:rsid w:val="00F243DE"/>
    <w:rsid w:val="00F248AB"/>
    <w:rsid w:val="00F24A1D"/>
    <w:rsid w:val="00F26BF4"/>
    <w:rsid w:val="00F26CB2"/>
    <w:rsid w:val="00F27F6B"/>
    <w:rsid w:val="00F34A18"/>
    <w:rsid w:val="00F408BA"/>
    <w:rsid w:val="00F4261B"/>
    <w:rsid w:val="00F4360D"/>
    <w:rsid w:val="00F50F1C"/>
    <w:rsid w:val="00F51FA9"/>
    <w:rsid w:val="00F531B4"/>
    <w:rsid w:val="00F547D1"/>
    <w:rsid w:val="00F55971"/>
    <w:rsid w:val="00F561F0"/>
    <w:rsid w:val="00F572E6"/>
    <w:rsid w:val="00F62A88"/>
    <w:rsid w:val="00F666F6"/>
    <w:rsid w:val="00F668C9"/>
    <w:rsid w:val="00F67255"/>
    <w:rsid w:val="00F71E9E"/>
    <w:rsid w:val="00F7687E"/>
    <w:rsid w:val="00F7714D"/>
    <w:rsid w:val="00F82C55"/>
    <w:rsid w:val="00F86255"/>
    <w:rsid w:val="00F86949"/>
    <w:rsid w:val="00F87FB7"/>
    <w:rsid w:val="00F910FD"/>
    <w:rsid w:val="00F94FE6"/>
    <w:rsid w:val="00F9507B"/>
    <w:rsid w:val="00FA3727"/>
    <w:rsid w:val="00FA69A6"/>
    <w:rsid w:val="00FA7E6F"/>
    <w:rsid w:val="00FB0CCA"/>
    <w:rsid w:val="00FB168E"/>
    <w:rsid w:val="00FB5365"/>
    <w:rsid w:val="00FB574C"/>
    <w:rsid w:val="00FB5FB6"/>
    <w:rsid w:val="00FB688E"/>
    <w:rsid w:val="00FC052A"/>
    <w:rsid w:val="00FC4E5C"/>
    <w:rsid w:val="00FC604B"/>
    <w:rsid w:val="00FC6241"/>
    <w:rsid w:val="00FD09AE"/>
    <w:rsid w:val="00FD0C2D"/>
    <w:rsid w:val="00FE4487"/>
    <w:rsid w:val="00FE51D4"/>
    <w:rsid w:val="00FE6098"/>
    <w:rsid w:val="00FF22CE"/>
    <w:rsid w:val="00FF2346"/>
    <w:rsid w:val="00FF2D8D"/>
    <w:rsid w:val="0197485B"/>
    <w:rsid w:val="06C782B9"/>
    <w:rsid w:val="082246FC"/>
    <w:rsid w:val="0E55555B"/>
    <w:rsid w:val="11A97569"/>
    <w:rsid w:val="11C28BCC"/>
    <w:rsid w:val="12DA73E0"/>
    <w:rsid w:val="1521AA5C"/>
    <w:rsid w:val="15CB318B"/>
    <w:rsid w:val="16E86DF3"/>
    <w:rsid w:val="20901E9F"/>
    <w:rsid w:val="261B16F8"/>
    <w:rsid w:val="2C77B947"/>
    <w:rsid w:val="32959675"/>
    <w:rsid w:val="339E6781"/>
    <w:rsid w:val="380BA7E2"/>
    <w:rsid w:val="3888A348"/>
    <w:rsid w:val="4138B622"/>
    <w:rsid w:val="4298F407"/>
    <w:rsid w:val="48FB4960"/>
    <w:rsid w:val="49F684E3"/>
    <w:rsid w:val="4A7263D4"/>
    <w:rsid w:val="4D2AA1F3"/>
    <w:rsid w:val="4D332D27"/>
    <w:rsid w:val="56BA6882"/>
    <w:rsid w:val="5A7AACB4"/>
    <w:rsid w:val="5D9A9362"/>
    <w:rsid w:val="64982A51"/>
    <w:rsid w:val="64D33F99"/>
    <w:rsid w:val="7B0AB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9921"/>
    <o:shapelayout v:ext="edit">
      <o:idmap v:ext="edit" data="1"/>
    </o:shapelayout>
  </w:shapeDefaults>
  <w:decimalSymbol w:val=","/>
  <w:listSeparator w:val=";"/>
  <w14:docId w14:val="31BB0DD4"/>
  <w15:docId w15:val="{1001F183-A6D4-4832-85FE-3960BE58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paragraph" w:customStyle="1" w:styleId="SourceLarge">
    <w:name w:val="SourceLarge"/>
    <w:next w:val="Normln"/>
    <w:link w:val="SourceLargeChar"/>
    <w:uiPriority w:val="99"/>
    <w:rsid w:val="002A4A29"/>
    <w:pPr>
      <w:suppressAutoHyphens/>
      <w:spacing w:after="360" w:line="160" w:lineRule="atLeast"/>
    </w:pPr>
    <w:rPr>
      <w:rFonts w:ascii="Helvetica Neue CE Medium" w:hAnsi="Helvetica Neue CE Medium" w:cs="Helvetica Neue CE Medium"/>
      <w:sz w:val="11"/>
      <w:szCs w:val="11"/>
      <w:lang w:val="en-GB" w:eastAsia="en-US"/>
    </w:rPr>
  </w:style>
  <w:style w:type="character" w:customStyle="1" w:styleId="SourceLargeChar">
    <w:name w:val="SourceLarge Char"/>
    <w:basedOn w:val="Standardnpsmoodstavce"/>
    <w:link w:val="SourceLarge"/>
    <w:uiPriority w:val="99"/>
    <w:rsid w:val="002A4A29"/>
    <w:rPr>
      <w:rFonts w:ascii="Helvetica Neue CE Medium" w:hAnsi="Helvetica Neue CE Medium" w:cs="Helvetica Neue CE Medium"/>
      <w:sz w:val="11"/>
      <w:szCs w:val="1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_vejmelek@k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G_colors">
      <a:dk1>
        <a:srgbClr val="000000"/>
      </a:dk1>
      <a:lt1>
        <a:srgbClr val="FFFFFF"/>
      </a:lt1>
      <a:dk2>
        <a:srgbClr val="FFFFFF"/>
      </a:dk2>
      <a:lt2>
        <a:srgbClr val="000000"/>
      </a:lt2>
      <a:accent1>
        <a:srgbClr val="C1BCBC"/>
      </a:accent1>
      <a:accent2>
        <a:srgbClr val="E60028"/>
      </a:accent2>
      <a:accent3>
        <a:srgbClr val="D6C292"/>
      </a:accent3>
      <a:accent4>
        <a:srgbClr val="7B1D21"/>
      </a:accent4>
      <a:accent5>
        <a:srgbClr val="B8D8DC"/>
      </a:accent5>
      <a:accent6>
        <a:srgbClr val="3C747B"/>
      </a:accent6>
      <a:hlink>
        <a:srgbClr val="635C5C"/>
      </a:hlink>
      <a:folHlink>
        <a:srgbClr val="938B8B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8F76C5A6A1C4D9A23B8B8F20D0159" ma:contentTypeVersion="2" ma:contentTypeDescription="Create a new document." ma:contentTypeScope="" ma:versionID="0c0326309d003804bffc7479764d3d79">
  <xsd:schema xmlns:xsd="http://www.w3.org/2001/XMLSchema" xmlns:xs="http://www.w3.org/2001/XMLSchema" xmlns:p="http://schemas.microsoft.com/office/2006/metadata/properties" xmlns:ns2="3235f14f-47a2-42bc-a3e7-cb82b0f04763" targetNamespace="http://schemas.microsoft.com/office/2006/metadata/properties" ma:root="true" ma:fieldsID="b3a7d58aa3bda3fb33f354d11ad062a0" ns2:_="">
    <xsd:import namespace="3235f14f-47a2-42bc-a3e7-cb82b0f04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f14f-47a2-42bc-a3e7-cb82b0f04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D93D0-7D9A-498F-86A0-486C500DB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5338A-0002-4623-8D62-DD8AFF8A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5f14f-47a2-42bc-a3e7-cb82b0f04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ECA13-BF00-4250-BECE-8B681EF8E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C7E79-CC0E-4ECE-A8AA-811FC019EC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4703</Characters>
  <Application>Microsoft Office Word</Application>
  <DocSecurity>4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Dokumenty Crestcom</cp:lastModifiedBy>
  <cp:revision>2</cp:revision>
  <cp:lastPrinted>2020-05-29T09:13:00Z</cp:lastPrinted>
  <dcterms:created xsi:type="dcterms:W3CDTF">2021-07-28T11:22:00Z</dcterms:created>
  <dcterms:modified xsi:type="dcterms:W3CDTF">2021-07-28T11:22:00Z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0x0101004238F76C5A6A1C4D9A23B8B8F20D0159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2021-07-28T06:46:32Z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9f92e10e-e094-4aa2-8da0-ee3b9aff1f9e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