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BECAF" w14:textId="2AECA98A" w:rsidR="0003398E" w:rsidRPr="00D66380" w:rsidRDefault="002A4A29" w:rsidP="00B5315B">
      <w:pPr>
        <w:pStyle w:val="Nadpis1"/>
        <w:rPr>
          <w:color w:val="E60028" w:themeColor="accent2"/>
          <w:lang w:val="cs-CZ"/>
        </w:rPr>
      </w:pPr>
      <w:r w:rsidRPr="00D66380">
        <w:rPr>
          <w:caps w:val="0"/>
          <w:color w:val="E60028" w:themeColor="accent2"/>
          <w:lang w:val="cs-CZ"/>
        </w:rPr>
        <w:t>EKONOMICKÁ PROGNÓZA KOMERČNÍ BANKY</w:t>
      </w:r>
      <w:r w:rsidR="00027C8D" w:rsidRPr="00D66380">
        <w:rPr>
          <w:caps w:val="0"/>
          <w:color w:val="E60028" w:themeColor="accent2"/>
          <w:lang w:val="cs-CZ"/>
        </w:rPr>
        <w:t xml:space="preserve"> </w:t>
      </w:r>
      <w:r w:rsidR="00D66380" w:rsidRPr="00D66380">
        <w:rPr>
          <w:color w:val="E60028" w:themeColor="accent2"/>
          <w:lang w:val="cs-CZ"/>
        </w:rPr>
        <w:t>motor ekonomiky zažehnut</w:t>
      </w:r>
    </w:p>
    <w:p w14:paraId="672A6659" w14:textId="77777777" w:rsidR="0003398E" w:rsidRPr="0089398A" w:rsidRDefault="0003398E" w:rsidP="0003398E">
      <w:pPr>
        <w:spacing w:before="120" w:line="276" w:lineRule="auto"/>
        <w:jc w:val="both"/>
        <w:rPr>
          <w:color w:val="000000" w:themeColor="text1"/>
          <w:sz w:val="24"/>
          <w:szCs w:val="24"/>
          <w:highlight w:val="yellow"/>
        </w:rPr>
      </w:pPr>
    </w:p>
    <w:p w14:paraId="0EF2953D" w14:textId="7DC5AA5E" w:rsidR="008E652E" w:rsidRDefault="00235B2B" w:rsidP="32959675">
      <w:pPr>
        <w:jc w:val="both"/>
        <w:rPr>
          <w:b/>
          <w:bCs/>
        </w:rPr>
      </w:pPr>
      <w:r>
        <w:rPr>
          <w:b/>
          <w:bCs/>
        </w:rPr>
        <w:t xml:space="preserve">Tuzemské </w:t>
      </w:r>
      <w:r w:rsidR="00B77563">
        <w:rPr>
          <w:b/>
          <w:bCs/>
        </w:rPr>
        <w:t>hospodářství</w:t>
      </w:r>
      <w:r w:rsidR="008E652E" w:rsidRPr="008E652E">
        <w:rPr>
          <w:b/>
          <w:bCs/>
        </w:rPr>
        <w:t xml:space="preserve"> svižně roste. Rychlé tempo odstraňování </w:t>
      </w:r>
      <w:proofErr w:type="spellStart"/>
      <w:r w:rsidR="008E652E" w:rsidRPr="008E652E">
        <w:rPr>
          <w:b/>
          <w:bCs/>
        </w:rPr>
        <w:t>protipandemických</w:t>
      </w:r>
      <w:proofErr w:type="spellEnd"/>
      <w:r w:rsidR="008E652E" w:rsidRPr="008E652E">
        <w:rPr>
          <w:b/>
          <w:bCs/>
        </w:rPr>
        <w:t xml:space="preserve"> opatření v průběhu druhého čtvrtletí </w:t>
      </w:r>
      <w:r w:rsidR="008E652E">
        <w:rPr>
          <w:b/>
          <w:bCs/>
        </w:rPr>
        <w:t xml:space="preserve">vedlo k neméně rychlému vzestupu ekonomické aktivity. Zákazníků se konečně dočkali maloobchodníci i poskytovatelé služeb. Domácí poptávka bude hlavním hybatelem ekonomického vývoje ve zbytku roku. </w:t>
      </w:r>
      <w:r w:rsidR="00D34371">
        <w:rPr>
          <w:b/>
          <w:bCs/>
        </w:rPr>
        <w:t xml:space="preserve">Produkce bude ovšem limitována nedostatkem některých vstupů do výroby či jejich zdražováním, bariérou rychlejšího růstu zůstává </w:t>
      </w:r>
      <w:r w:rsidR="005D1C0A">
        <w:rPr>
          <w:b/>
          <w:bCs/>
        </w:rPr>
        <w:t>nedostatek zaměstnanců. Přetrvávající inflační tlaky v situaci již rostoucí ekonomiky bude ČNB korigovat zvyšováním úrokových sazeb.</w:t>
      </w:r>
    </w:p>
    <w:p w14:paraId="5D0537C8" w14:textId="2C39D9C9" w:rsidR="00235B2B" w:rsidRDefault="00235B2B" w:rsidP="32959675">
      <w:pPr>
        <w:jc w:val="both"/>
        <w:rPr>
          <w:b/>
          <w:bCs/>
        </w:rPr>
      </w:pPr>
    </w:p>
    <w:p w14:paraId="4264BD99" w14:textId="7F198616" w:rsidR="00235B2B" w:rsidRDefault="00235B2B" w:rsidP="32959675">
      <w:pPr>
        <w:jc w:val="both"/>
      </w:pPr>
      <w:r>
        <w:rPr>
          <w:b/>
          <w:bCs/>
        </w:rPr>
        <w:t xml:space="preserve">Česká ekonomika se na </w:t>
      </w:r>
      <w:proofErr w:type="spellStart"/>
      <w:r>
        <w:rPr>
          <w:b/>
          <w:bCs/>
        </w:rPr>
        <w:t>předpandemickou</w:t>
      </w:r>
      <w:proofErr w:type="spellEnd"/>
      <w:r>
        <w:rPr>
          <w:b/>
          <w:bCs/>
        </w:rPr>
        <w:t xml:space="preserve"> úroveň produkce vrátí ještě letos. </w:t>
      </w:r>
      <w:r w:rsidR="00217358">
        <w:t>Zatímco</w:t>
      </w:r>
      <w:r w:rsidR="00217358" w:rsidRPr="00217358">
        <w:t xml:space="preserve"> lo</w:t>
      </w:r>
      <w:r w:rsidR="00217358">
        <w:t>ň</w:t>
      </w:r>
      <w:r w:rsidR="00217358" w:rsidRPr="00217358">
        <w:t>ská pandemi</w:t>
      </w:r>
      <w:r w:rsidR="00217358">
        <w:t>c</w:t>
      </w:r>
      <w:r w:rsidR="00217358" w:rsidRPr="00217358">
        <w:t xml:space="preserve">ká recese snížila reálný HDP o 5,8 %, pro letošní rok </w:t>
      </w:r>
      <w:r w:rsidR="006F0728">
        <w:t>odhadujeme</w:t>
      </w:r>
      <w:r w:rsidR="006F0728" w:rsidRPr="00217358">
        <w:t xml:space="preserve"> </w:t>
      </w:r>
      <w:r w:rsidR="00217358" w:rsidRPr="00217358">
        <w:t xml:space="preserve">její vzestup o 4,2 %. </w:t>
      </w:r>
      <w:r w:rsidR="00217358">
        <w:t>Růstová prognóza tak byla oproti té dubnové vylepšena o 0,8 pb. „</w:t>
      </w:r>
      <w:r w:rsidR="00217358" w:rsidRPr="00217358">
        <w:rPr>
          <w:i/>
          <w:iCs/>
        </w:rPr>
        <w:t xml:space="preserve">Již v průběhu letošního závěrečného čtvrtletí se tak v objemu produkce vrátíme nad </w:t>
      </w:r>
      <w:proofErr w:type="spellStart"/>
      <w:r w:rsidR="00217358" w:rsidRPr="00217358">
        <w:rPr>
          <w:i/>
          <w:iCs/>
        </w:rPr>
        <w:t>předpandemickou</w:t>
      </w:r>
      <w:proofErr w:type="spellEnd"/>
      <w:r w:rsidR="00217358" w:rsidRPr="00217358">
        <w:rPr>
          <w:i/>
          <w:iCs/>
        </w:rPr>
        <w:t xml:space="preserve"> úroveň, tedy nad konec roku 2019</w:t>
      </w:r>
      <w:r w:rsidR="00217358">
        <w:t>“, hodnotí novou prognózu Komerční banky její hlavní ekonom Jan Vejmělek.</w:t>
      </w:r>
      <w:r w:rsidR="000C123A">
        <w:t xml:space="preserve"> </w:t>
      </w:r>
      <w:r w:rsidR="0069488C">
        <w:t>Pro rok 2022 počítá prognóza KB s růstem ekonomiky o silných 5,3 %.</w:t>
      </w:r>
    </w:p>
    <w:p w14:paraId="598E72F5" w14:textId="48DD0735" w:rsidR="00B1508B" w:rsidRDefault="00B1508B" w:rsidP="32959675">
      <w:pPr>
        <w:jc w:val="both"/>
      </w:pPr>
    </w:p>
    <w:p w14:paraId="27F99A36" w14:textId="58401B48" w:rsidR="0069488C" w:rsidRPr="00961AF5" w:rsidRDefault="0069488C" w:rsidP="32959675">
      <w:pPr>
        <w:jc w:val="both"/>
      </w:pPr>
      <w:r w:rsidRPr="0069488C">
        <w:rPr>
          <w:b/>
          <w:bCs/>
        </w:rPr>
        <w:t>Rychlé oživení globální i samotné české ekonomiky naráží na limity v podobě nedostatku vstupních komponent do výroby i pracovní síly.</w:t>
      </w:r>
      <w:r>
        <w:t xml:space="preserve"> Poněkud nezvykle tak c</w:t>
      </w:r>
      <w:r w:rsidR="00525D94" w:rsidRPr="00525D94">
        <w:t>hybějící komponenty do výroby letos přispějí k silnému růstu zásob</w:t>
      </w:r>
      <w:r>
        <w:t>,</w:t>
      </w:r>
      <w:r w:rsidR="00CF0AF6">
        <w:t xml:space="preserve"> díky velkému podílu rozpracované produkce,</w:t>
      </w:r>
      <w:r>
        <w:t xml:space="preserve"> které se tak</w:t>
      </w:r>
      <w:r w:rsidR="00525D94" w:rsidRPr="00525D94">
        <w:t xml:space="preserve"> stanou tahounem ekonomiky. K </w:t>
      </w:r>
      <w:r>
        <w:t>zásobám</w:t>
      </w:r>
      <w:r w:rsidR="00525D94" w:rsidRPr="00525D94">
        <w:t xml:space="preserve"> se postupně přidají i investice </w:t>
      </w:r>
      <w:r>
        <w:t xml:space="preserve">podporované </w:t>
      </w:r>
      <w:r w:rsidR="00CF0AF6">
        <w:t>finančním</w:t>
      </w:r>
      <w:r w:rsidR="00CC0D59">
        <w:t>i</w:t>
      </w:r>
      <w:r w:rsidR="00CF0AF6">
        <w:t xml:space="preserve"> </w:t>
      </w:r>
      <w:r>
        <w:t>zdroji z fondů EU či Národního fondu obnovy.</w:t>
      </w:r>
      <w:r w:rsidR="00681DF9">
        <w:t xml:space="preserve"> Významnou roli budou hrát zelené investice. </w:t>
      </w:r>
      <w:r w:rsidR="002F2407">
        <w:t xml:space="preserve">Pandemická recese </w:t>
      </w:r>
      <w:r w:rsidR="006F0728">
        <w:t>vedla jen k relativně malému růstu nezaměstnanosti</w:t>
      </w:r>
      <w:r w:rsidR="002F2407">
        <w:t xml:space="preserve">, s otevřením ekonomiky tak lze spoléhat i na silnou spotřebu domácností. </w:t>
      </w:r>
      <w:r w:rsidR="002F2407" w:rsidRPr="00FB5365">
        <w:rPr>
          <w:i/>
          <w:iCs/>
        </w:rPr>
        <w:t xml:space="preserve">„Trh práce jednoznačně vykazuje známky stabilizace. Domníváme se, že míra </w:t>
      </w:r>
      <w:r w:rsidR="002F2407" w:rsidRPr="00961AF5">
        <w:rPr>
          <w:i/>
          <w:iCs/>
        </w:rPr>
        <w:t>nezaměstnanosti již dosáhla svého vrcholu a v příštím roce by mohla dokonce mírně klesat“,</w:t>
      </w:r>
      <w:r w:rsidR="002F2407" w:rsidRPr="00961AF5">
        <w:t xml:space="preserve"> </w:t>
      </w:r>
      <w:r w:rsidR="00961AF5" w:rsidRPr="00961AF5">
        <w:t xml:space="preserve">dokresluje </w:t>
      </w:r>
      <w:r w:rsidR="002F2407" w:rsidRPr="00961AF5">
        <w:t>situaci na pracovním trhu ekonom Komerční banky Michal Brožka.</w:t>
      </w:r>
    </w:p>
    <w:p w14:paraId="1D00B31E" w14:textId="77777777" w:rsidR="0069488C" w:rsidRPr="00961AF5" w:rsidRDefault="0069488C" w:rsidP="32959675">
      <w:pPr>
        <w:jc w:val="both"/>
      </w:pPr>
    </w:p>
    <w:p w14:paraId="4934CC02" w14:textId="1F47E991" w:rsidR="00CF304B" w:rsidRDefault="00CF304B" w:rsidP="32959675">
      <w:pPr>
        <w:jc w:val="both"/>
      </w:pPr>
      <w:r w:rsidRPr="00961AF5">
        <w:rPr>
          <w:b/>
          <w:bCs/>
        </w:rPr>
        <w:t>Inflace se již po dobu více než dvou let pohybuje nad dvouprocentním cílem centrální banky.</w:t>
      </w:r>
      <w:r w:rsidRPr="00961AF5">
        <w:t xml:space="preserve"> „</w:t>
      </w:r>
      <w:r w:rsidRPr="00961AF5">
        <w:rPr>
          <w:i/>
          <w:iCs/>
        </w:rPr>
        <w:t xml:space="preserve">Inflace </w:t>
      </w:r>
      <w:r w:rsidR="006F0728" w:rsidRPr="00961AF5">
        <w:rPr>
          <w:i/>
          <w:iCs/>
        </w:rPr>
        <w:t>zatím nejeví ochotu zpomalit</w:t>
      </w:r>
      <w:r w:rsidRPr="00961AF5">
        <w:rPr>
          <w:i/>
          <w:iCs/>
        </w:rPr>
        <w:t xml:space="preserve">, v nové prognóze ji </w:t>
      </w:r>
      <w:r w:rsidR="00FB5365" w:rsidRPr="00961AF5">
        <w:rPr>
          <w:i/>
          <w:iCs/>
        </w:rPr>
        <w:t>zvedáme</w:t>
      </w:r>
      <w:r w:rsidRPr="00961AF5">
        <w:rPr>
          <w:i/>
          <w:iCs/>
        </w:rPr>
        <w:t xml:space="preserve"> na 2,8 %, pro příští rok ji prognóza KB </w:t>
      </w:r>
      <w:r w:rsidR="006F0728" w:rsidRPr="00961AF5">
        <w:rPr>
          <w:i/>
          <w:iCs/>
        </w:rPr>
        <w:t xml:space="preserve">vidí </w:t>
      </w:r>
      <w:r w:rsidRPr="00961AF5">
        <w:rPr>
          <w:i/>
          <w:iCs/>
        </w:rPr>
        <w:t>na 2,4 %</w:t>
      </w:r>
      <w:r w:rsidRPr="00961AF5">
        <w:t>,“ upřesňuje Michal Brožka. Současný ekonomický vývoj je navíc spjat s řadou proinflačních rizik. To může mít negativní vliv na ukotvenost inflačních</w:t>
      </w:r>
      <w:r w:rsidRPr="00CC0D59">
        <w:t xml:space="preserve"> očekávání, což si uvědomují také centrální bankéři a jsou odhodláni vracet úrokové sazby </w:t>
      </w:r>
      <w:r w:rsidRPr="00961AF5">
        <w:t>zpět k běžným úrovním. Rozhodování jim usnadňuje i rychle oživující ekonomika a rostoucí</w:t>
      </w:r>
      <w:r w:rsidRPr="00CC0D59">
        <w:t xml:space="preserve"> podíl proočkované populace. „</w:t>
      </w:r>
      <w:r w:rsidRPr="00CC0D59">
        <w:rPr>
          <w:i/>
          <w:iCs/>
        </w:rPr>
        <w:t xml:space="preserve">Po červnovém </w:t>
      </w:r>
      <w:r w:rsidR="00CF0AF6" w:rsidRPr="00CC0D59">
        <w:rPr>
          <w:i/>
          <w:iCs/>
        </w:rPr>
        <w:t xml:space="preserve">nárůstu </w:t>
      </w:r>
      <w:r w:rsidRPr="00CC0D59">
        <w:rPr>
          <w:i/>
          <w:iCs/>
        </w:rPr>
        <w:t>úrokových sazeb o čtvrt procentního bodu tak pro zbytek roku očekáváme další tři takováto zvýšení, v srpnu, září a listopadu</w:t>
      </w:r>
      <w:r w:rsidRPr="00CC0D59">
        <w:t xml:space="preserve">“, odhaluje očekávané kroky ČNB Martin </w:t>
      </w:r>
      <w:proofErr w:type="spellStart"/>
      <w:r w:rsidRPr="00CC0D59">
        <w:t>Gürtler</w:t>
      </w:r>
      <w:proofErr w:type="spellEnd"/>
      <w:r w:rsidRPr="00CC0D59">
        <w:t>, ekonom Komerční banky. „</w:t>
      </w:r>
      <w:r w:rsidRPr="00CC0D59">
        <w:rPr>
          <w:i/>
          <w:iCs/>
        </w:rPr>
        <w:t>Vyloučit však nelze ani zvýšení o půl procentního bodu, a to především na srpnovém zasedání</w:t>
      </w:r>
      <w:r w:rsidRPr="00CC0D59">
        <w:t>“, dodává.</w:t>
      </w:r>
    </w:p>
    <w:p w14:paraId="66AE9346" w14:textId="5254D0ED" w:rsidR="00B1508B" w:rsidRDefault="00B1508B" w:rsidP="32959675">
      <w:pPr>
        <w:jc w:val="both"/>
      </w:pPr>
    </w:p>
    <w:p w14:paraId="1ADFEE8A" w14:textId="21F8C56D" w:rsidR="00B1508B" w:rsidRDefault="00B1508B" w:rsidP="32959675">
      <w:pPr>
        <w:jc w:val="both"/>
      </w:pPr>
      <w:r w:rsidRPr="00B66DDA">
        <w:rPr>
          <w:b/>
          <w:bCs/>
        </w:rPr>
        <w:t>Opětovné roztočení kola ekonomiky se pozitivně projevilo na výsledcích státního rozpočtu ke konci prvního pololetí.</w:t>
      </w:r>
      <w:r>
        <w:t xml:space="preserve"> </w:t>
      </w:r>
      <w:r w:rsidR="004F204A">
        <w:t>Ministerstvo</w:t>
      </w:r>
      <w:r>
        <w:t xml:space="preserve"> financí prosadilo letošní hospodaření </w:t>
      </w:r>
      <w:r w:rsidR="00B66DDA">
        <w:t xml:space="preserve">s předpokládaným schodkem 500 mld. Kč. Již </w:t>
      </w:r>
      <w:r w:rsidR="006B2031">
        <w:t>na počátku roku</w:t>
      </w:r>
      <w:r w:rsidR="00B66DDA">
        <w:t xml:space="preserve"> jsme počítali s nižším deficitem ve výši 400 mld. Kč a tento předpoklad držíme i nadále. Jak upozorňuje stratég Komerční banky František Táborský</w:t>
      </w:r>
      <w:r w:rsidR="00FB5365">
        <w:t>:</w:t>
      </w:r>
      <w:r w:rsidR="00B66DDA">
        <w:t xml:space="preserve"> „</w:t>
      </w:r>
      <w:r w:rsidR="00FB5365">
        <w:rPr>
          <w:i/>
          <w:iCs/>
        </w:rPr>
        <w:t>S</w:t>
      </w:r>
      <w:r w:rsidR="00B66DDA" w:rsidRPr="00B66DDA">
        <w:rPr>
          <w:i/>
          <w:iCs/>
        </w:rPr>
        <w:t xml:space="preserve">tátní rozpočet bude i letos pokračovat v praxi podhodnocených příjmů a obdobně jako vloni bude </w:t>
      </w:r>
      <w:proofErr w:type="spellStart"/>
      <w:r w:rsidR="00B66DDA" w:rsidRPr="00B66DDA">
        <w:rPr>
          <w:i/>
          <w:iCs/>
        </w:rPr>
        <w:t>benefitovat</w:t>
      </w:r>
      <w:proofErr w:type="spellEnd"/>
      <w:r w:rsidR="00B66DDA" w:rsidRPr="00B66DDA">
        <w:rPr>
          <w:i/>
          <w:iCs/>
        </w:rPr>
        <w:t xml:space="preserve"> také z úspory na „</w:t>
      </w:r>
      <w:proofErr w:type="spellStart"/>
      <w:r w:rsidR="00B66DDA" w:rsidRPr="00B66DDA">
        <w:rPr>
          <w:i/>
          <w:iCs/>
        </w:rPr>
        <w:t>covidových</w:t>
      </w:r>
      <w:proofErr w:type="spellEnd"/>
      <w:r w:rsidR="00B66DDA" w:rsidRPr="00B66DDA">
        <w:rPr>
          <w:i/>
          <w:iCs/>
        </w:rPr>
        <w:t>“ programech, což ve výsledku povede opět k nižšímu deficitu státního rozpočtu oproti schválenému plánu</w:t>
      </w:r>
      <w:r w:rsidR="00B66DDA">
        <w:t>“.</w:t>
      </w:r>
    </w:p>
    <w:p w14:paraId="7EA24856" w14:textId="32BE05AD" w:rsidR="00B86B79" w:rsidRDefault="00B86B79" w:rsidP="32959675">
      <w:pPr>
        <w:jc w:val="both"/>
      </w:pPr>
    </w:p>
    <w:p w14:paraId="3EEC9032" w14:textId="64BEF6C9" w:rsidR="00B86B79" w:rsidRPr="00217358" w:rsidRDefault="008D67AF" w:rsidP="32959675">
      <w:pPr>
        <w:jc w:val="both"/>
      </w:pPr>
      <w:r w:rsidRPr="008D67AF">
        <w:rPr>
          <w:b/>
          <w:bCs/>
        </w:rPr>
        <w:t>Rostoucí ekonomika a zvyšující se úrokové sazby budou podporovat korunu.</w:t>
      </w:r>
      <w:r>
        <w:t xml:space="preserve"> </w:t>
      </w:r>
      <w:r w:rsidR="00F55971">
        <w:t>„</w:t>
      </w:r>
      <w:r w:rsidRPr="00F55971">
        <w:rPr>
          <w:i/>
          <w:iCs/>
        </w:rPr>
        <w:t>Ta bude vůči euru posilovat směrem k 25,10 CZK/EUR na konci roku, příští rok bude euro stát méně než 25 korun</w:t>
      </w:r>
      <w:r w:rsidR="00F55971">
        <w:t xml:space="preserve">“, kvantifikuje očekávaný kurz koruny František Táborský. </w:t>
      </w:r>
      <w:r w:rsidR="00F55971" w:rsidRPr="00F55971">
        <w:t xml:space="preserve">Oproti předchozí prognóze </w:t>
      </w:r>
      <w:r w:rsidR="00F55971">
        <w:t xml:space="preserve">bude </w:t>
      </w:r>
      <w:r w:rsidR="00F55971" w:rsidRPr="00F55971">
        <w:t>tempo posilování koruny</w:t>
      </w:r>
      <w:r w:rsidR="00F55971">
        <w:t xml:space="preserve"> mírnější</w:t>
      </w:r>
      <w:r w:rsidR="00F55971" w:rsidRPr="00F55971">
        <w:t>. Za tím stojí zejména kompletní revize prognózy kurzu eura vůči dolaru</w:t>
      </w:r>
      <w:r w:rsidR="00F55971">
        <w:t xml:space="preserve"> směrem k silnějšímu dolaru. </w:t>
      </w:r>
      <w:r w:rsidR="009B679C" w:rsidRPr="009B679C">
        <w:t>„</w:t>
      </w:r>
      <w:r w:rsidR="009B679C" w:rsidRPr="009B679C">
        <w:rPr>
          <w:i/>
          <w:iCs/>
        </w:rPr>
        <w:t>Finanční trhy se zvyšováním úrokových sazeb ve Spojených státech zatím příliš nepočítají. Jakmile ho do svých cen začnou zahrnovat, americký dolar bude posilovat“</w:t>
      </w:r>
      <w:r w:rsidR="009B679C" w:rsidRPr="009B679C">
        <w:t xml:space="preserve"> doplňuje J</w:t>
      </w:r>
      <w:r w:rsidR="009B679C">
        <w:t xml:space="preserve">ana </w:t>
      </w:r>
      <w:proofErr w:type="spellStart"/>
      <w:r w:rsidR="009B679C">
        <w:t>Steckerová</w:t>
      </w:r>
      <w:proofErr w:type="spellEnd"/>
      <w:r w:rsidR="00FB5365">
        <w:t>, ekonomka Komerční banky</w:t>
      </w:r>
      <w:r w:rsidR="009B679C">
        <w:t>.</w:t>
      </w:r>
      <w:r w:rsidR="00E109CF">
        <w:t xml:space="preserve"> „</w:t>
      </w:r>
      <w:r w:rsidR="00E109CF" w:rsidRPr="00E109CF">
        <w:rPr>
          <w:i/>
          <w:iCs/>
        </w:rPr>
        <w:t>Letní volatilitu koruny a její dočasné posuny ke slabším hodnotám vidíme jako příležitost k zajištění lepších podmínek pro exportéry</w:t>
      </w:r>
      <w:r w:rsidR="00E109CF">
        <w:t>“, dodává Táborský</w:t>
      </w:r>
      <w:r w:rsidR="00E109CF" w:rsidRPr="00E109CF">
        <w:t>.</w:t>
      </w:r>
    </w:p>
    <w:p w14:paraId="32D4B017" w14:textId="77777777" w:rsidR="008E652E" w:rsidRDefault="008E652E" w:rsidP="32959675">
      <w:pPr>
        <w:jc w:val="both"/>
        <w:rPr>
          <w:b/>
          <w:bCs/>
          <w:highlight w:val="yellow"/>
        </w:rPr>
      </w:pPr>
    </w:p>
    <w:p w14:paraId="64FD9834" w14:textId="2A73BE5F" w:rsidR="00CC6F5A" w:rsidRPr="0089398A" w:rsidRDefault="00CC6F5A" w:rsidP="32959675">
      <w:pPr>
        <w:jc w:val="both"/>
        <w:rPr>
          <w:highlight w:val="yellow"/>
        </w:rPr>
      </w:pPr>
    </w:p>
    <w:tbl>
      <w:tblPr>
        <w:tblW w:w="764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4"/>
        <w:gridCol w:w="591"/>
        <w:gridCol w:w="708"/>
        <w:gridCol w:w="708"/>
      </w:tblGrid>
      <w:tr w:rsidR="002A4A29" w:rsidRPr="00F86255" w14:paraId="1F5C7577" w14:textId="77777777" w:rsidTr="00857E46">
        <w:trPr>
          <w:trHeight w:val="270"/>
        </w:trPr>
        <w:tc>
          <w:tcPr>
            <w:tcW w:w="5634" w:type="dxa"/>
            <w:tcBorders>
              <w:top w:val="nil"/>
              <w:left w:val="nil"/>
              <w:bottom w:val="single" w:sz="12" w:space="0" w:color="E60028" w:themeColor="accent2"/>
              <w:right w:val="nil"/>
            </w:tcBorders>
            <w:shd w:val="clear" w:color="000000" w:fill="FFFFFF"/>
            <w:noWrap/>
            <w:vAlign w:val="bottom"/>
            <w:hideMark/>
          </w:tcPr>
          <w:p w14:paraId="7C6A5A14" w14:textId="77777777" w:rsidR="002A4A29" w:rsidRPr="00F86255" w:rsidRDefault="002A4A29" w:rsidP="00116033">
            <w:pPr>
              <w:spacing w:line="240" w:lineRule="auto"/>
              <w:rPr>
                <w:rFonts w:eastAsia="Times New Roman"/>
                <w:b/>
                <w:bCs/>
                <w:sz w:val="24"/>
                <w:szCs w:val="24"/>
                <w:lang w:eastAsia="cs-CZ"/>
              </w:rPr>
            </w:pPr>
            <w:r w:rsidRPr="00F86255">
              <w:rPr>
                <w:rFonts w:eastAsia="Times New Roman"/>
                <w:b/>
                <w:bCs/>
                <w:sz w:val="24"/>
                <w:szCs w:val="24"/>
                <w:lang w:eastAsia="cs-CZ"/>
              </w:rPr>
              <w:t>Hlavní ekonomické proměnné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E60028" w:themeColor="accent2"/>
              <w:right w:val="nil"/>
            </w:tcBorders>
            <w:shd w:val="clear" w:color="000000" w:fill="FFFFFF"/>
            <w:noWrap/>
            <w:vAlign w:val="bottom"/>
            <w:hideMark/>
          </w:tcPr>
          <w:p w14:paraId="6E7BEAA2" w14:textId="77777777" w:rsidR="002A4A29" w:rsidRPr="00F86255" w:rsidRDefault="002A4A29" w:rsidP="00116033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  <w:r w:rsidRPr="00F86255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E60028" w:themeColor="accent2"/>
              <w:right w:val="nil"/>
            </w:tcBorders>
            <w:shd w:val="clear" w:color="000000" w:fill="FFFFFF"/>
            <w:noWrap/>
            <w:vAlign w:val="bottom"/>
            <w:hideMark/>
          </w:tcPr>
          <w:p w14:paraId="63E4A9CD" w14:textId="77777777" w:rsidR="002A4A29" w:rsidRPr="00F86255" w:rsidRDefault="002A4A29" w:rsidP="00116033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  <w:r w:rsidRPr="00F86255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E60028" w:themeColor="accent2"/>
              <w:right w:val="nil"/>
            </w:tcBorders>
            <w:shd w:val="clear" w:color="000000" w:fill="FFFFFF"/>
            <w:noWrap/>
            <w:vAlign w:val="bottom"/>
            <w:hideMark/>
          </w:tcPr>
          <w:p w14:paraId="4F6584BE" w14:textId="77777777" w:rsidR="002A4A29" w:rsidRPr="00F86255" w:rsidRDefault="002A4A29" w:rsidP="00116033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  <w:r w:rsidRPr="00F86255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2A4A29" w:rsidRPr="00F86255" w14:paraId="39B61B3E" w14:textId="77777777" w:rsidTr="000F5B6E">
        <w:trPr>
          <w:trHeight w:val="270"/>
        </w:trPr>
        <w:tc>
          <w:tcPr>
            <w:tcW w:w="5634" w:type="dxa"/>
            <w:tcBorders>
              <w:top w:val="single" w:sz="12" w:space="0" w:color="E60028" w:themeColor="accent2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14:paraId="09AF38FC" w14:textId="77777777" w:rsidR="002A4A29" w:rsidRPr="00F86255" w:rsidRDefault="002A4A29" w:rsidP="00116033">
            <w:pPr>
              <w:spacing w:line="240" w:lineRule="auto"/>
              <w:rPr>
                <w:rFonts w:eastAsia="Times New Roman"/>
                <w:sz w:val="18"/>
                <w:szCs w:val="18"/>
                <w:lang w:eastAsia="cs-CZ"/>
              </w:rPr>
            </w:pPr>
            <w:r w:rsidRPr="00F86255">
              <w:rPr>
                <w:rFonts w:eastAsia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91" w:type="dxa"/>
            <w:tcBorders>
              <w:top w:val="single" w:sz="4" w:space="0" w:color="E60028" w:themeColor="accent2"/>
              <w:left w:val="nil"/>
              <w:bottom w:val="single" w:sz="4" w:space="0" w:color="80808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50B5A13" w14:textId="7D2ED2FC" w:rsidR="002A4A29" w:rsidRPr="00F86255" w:rsidRDefault="002A4A29" w:rsidP="00A4418E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cs-CZ"/>
              </w:rPr>
            </w:pPr>
            <w:r w:rsidRPr="00F86255">
              <w:rPr>
                <w:rFonts w:eastAsia="Times New Roman"/>
                <w:sz w:val="20"/>
                <w:szCs w:val="20"/>
                <w:lang w:eastAsia="cs-CZ"/>
              </w:rPr>
              <w:t>20</w:t>
            </w:r>
            <w:r w:rsidR="00F86949" w:rsidRPr="00F86255">
              <w:rPr>
                <w:rFonts w:eastAsia="Times New Roman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708" w:type="dxa"/>
            <w:tcBorders>
              <w:top w:val="single" w:sz="4" w:space="0" w:color="E60028" w:themeColor="accent2"/>
              <w:left w:val="nil"/>
              <w:bottom w:val="single" w:sz="4" w:space="0" w:color="808080"/>
              <w:right w:val="nil"/>
            </w:tcBorders>
            <w:shd w:val="clear" w:color="auto" w:fill="FFFFFF" w:themeFill="background1"/>
            <w:noWrap/>
            <w:vAlign w:val="bottom"/>
          </w:tcPr>
          <w:p w14:paraId="42B71CCD" w14:textId="0E453155" w:rsidR="002A4A29" w:rsidRPr="00F86255" w:rsidRDefault="002A4A29" w:rsidP="00A4418E">
            <w:pPr>
              <w:spacing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 w:rsidRPr="00F86255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20</w:t>
            </w:r>
            <w:r w:rsidR="00A4418E" w:rsidRPr="00F86255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2</w:t>
            </w:r>
            <w:r w:rsidR="00F86949" w:rsidRPr="00F86255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8" w:type="dxa"/>
            <w:tcBorders>
              <w:top w:val="single" w:sz="4" w:space="0" w:color="E60028" w:themeColor="accent2"/>
              <w:left w:val="nil"/>
              <w:bottom w:val="single" w:sz="4" w:space="0" w:color="808080"/>
              <w:right w:val="nil"/>
            </w:tcBorders>
            <w:shd w:val="clear" w:color="auto" w:fill="FFFFFF" w:themeFill="background1"/>
            <w:noWrap/>
            <w:vAlign w:val="bottom"/>
          </w:tcPr>
          <w:p w14:paraId="65B281B9" w14:textId="10FA4EEF" w:rsidR="002A4A29" w:rsidRPr="00F86255" w:rsidRDefault="002A4A29" w:rsidP="00A4418E">
            <w:pPr>
              <w:spacing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 w:rsidRPr="00F86255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20</w:t>
            </w:r>
            <w:r w:rsidR="00DB08F3" w:rsidRPr="00F86255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2</w:t>
            </w:r>
            <w:r w:rsidR="00F86949" w:rsidRPr="00F86255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2</w:t>
            </w:r>
          </w:p>
        </w:tc>
      </w:tr>
      <w:tr w:rsidR="00F86255" w:rsidRPr="00F86255" w14:paraId="00AD2974" w14:textId="77777777" w:rsidTr="00F86255">
        <w:trPr>
          <w:trHeight w:val="255"/>
        </w:trPr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30B396" w14:textId="77777777" w:rsidR="00F86255" w:rsidRPr="00F86255" w:rsidRDefault="00F86255" w:rsidP="00F86255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  <w:r w:rsidRPr="00F86255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 xml:space="preserve">HDP </w:t>
            </w:r>
            <w:r w:rsidRPr="00F86255">
              <w:rPr>
                <w:rFonts w:eastAsia="Times New Roman"/>
                <w:bCs/>
                <w:sz w:val="18"/>
                <w:szCs w:val="18"/>
                <w:lang w:eastAsia="cs-CZ"/>
              </w:rPr>
              <w:t>(reálný růst, y/y v %)</w:t>
            </w:r>
          </w:p>
        </w:tc>
        <w:tc>
          <w:tcPr>
            <w:tcW w:w="591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966047" w14:textId="1ECBFA48" w:rsidR="00F86255" w:rsidRPr="00F86255" w:rsidRDefault="00F86255" w:rsidP="00F86255">
            <w:pPr>
              <w:jc w:val="right"/>
              <w:rPr>
                <w:sz w:val="18"/>
                <w:szCs w:val="18"/>
              </w:rPr>
            </w:pPr>
            <w:r w:rsidRPr="00F86255">
              <w:rPr>
                <w:sz w:val="18"/>
                <w:szCs w:val="18"/>
              </w:rPr>
              <w:t>-5</w:t>
            </w:r>
            <w:r>
              <w:rPr>
                <w:sz w:val="18"/>
                <w:szCs w:val="18"/>
              </w:rPr>
              <w:t>,</w:t>
            </w:r>
            <w:r w:rsidRPr="00F86255">
              <w:rPr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1BB640" w14:textId="3D33B1A9" w:rsidR="00F86255" w:rsidRPr="00F86255" w:rsidRDefault="00F86255" w:rsidP="00F86255">
            <w:pPr>
              <w:jc w:val="right"/>
              <w:rPr>
                <w:b/>
                <w:bCs/>
                <w:sz w:val="18"/>
                <w:szCs w:val="18"/>
              </w:rPr>
            </w:pPr>
            <w:r w:rsidRPr="00F86255">
              <w:rPr>
                <w:b/>
                <w:bCs/>
                <w:sz w:val="18"/>
                <w:szCs w:val="18"/>
              </w:rPr>
              <w:t>4</w:t>
            </w:r>
            <w:r>
              <w:rPr>
                <w:b/>
                <w:bCs/>
                <w:sz w:val="18"/>
                <w:szCs w:val="18"/>
              </w:rPr>
              <w:t>,</w:t>
            </w:r>
            <w:r w:rsidRPr="00F86255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762214B" w14:textId="660B0251" w:rsidR="00F86255" w:rsidRPr="00F86255" w:rsidRDefault="00F86255" w:rsidP="00F86255">
            <w:pPr>
              <w:jc w:val="right"/>
              <w:rPr>
                <w:b/>
                <w:bCs/>
                <w:sz w:val="18"/>
                <w:szCs w:val="18"/>
              </w:rPr>
            </w:pPr>
            <w:r w:rsidRPr="00F86255">
              <w:rPr>
                <w:b/>
                <w:bCs/>
                <w:sz w:val="18"/>
                <w:szCs w:val="18"/>
              </w:rPr>
              <w:t>5</w:t>
            </w:r>
            <w:r>
              <w:rPr>
                <w:b/>
                <w:bCs/>
                <w:sz w:val="18"/>
                <w:szCs w:val="18"/>
              </w:rPr>
              <w:t>,</w:t>
            </w:r>
            <w:r w:rsidRPr="00F86255">
              <w:rPr>
                <w:b/>
                <w:bCs/>
                <w:sz w:val="18"/>
                <w:szCs w:val="18"/>
              </w:rPr>
              <w:t>3</w:t>
            </w:r>
          </w:p>
        </w:tc>
      </w:tr>
      <w:tr w:rsidR="00F86255" w:rsidRPr="00F86255" w14:paraId="2DAA7C1B" w14:textId="77777777" w:rsidTr="00F86255">
        <w:trPr>
          <w:trHeight w:val="255"/>
        </w:trPr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591946" w14:textId="77777777" w:rsidR="00F86255" w:rsidRPr="00F86255" w:rsidRDefault="00F86255" w:rsidP="00F86255">
            <w:pPr>
              <w:spacing w:line="240" w:lineRule="auto"/>
              <w:ind w:firstLineChars="200" w:firstLine="361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  <w:r w:rsidRPr="00F86255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 xml:space="preserve">Spotřeba domácností </w:t>
            </w:r>
            <w:r w:rsidRPr="00F86255">
              <w:rPr>
                <w:rFonts w:eastAsia="Times New Roman"/>
                <w:bCs/>
                <w:sz w:val="18"/>
                <w:szCs w:val="18"/>
                <w:lang w:eastAsia="cs-CZ"/>
              </w:rPr>
              <w:t>(reálný růst, y/y v %)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1BB50B" w14:textId="676A0245" w:rsidR="00F86255" w:rsidRPr="00F86255" w:rsidRDefault="00F86255" w:rsidP="00F86255">
            <w:pPr>
              <w:jc w:val="right"/>
              <w:rPr>
                <w:sz w:val="18"/>
                <w:szCs w:val="18"/>
              </w:rPr>
            </w:pPr>
            <w:r w:rsidRPr="00F86255">
              <w:rPr>
                <w:sz w:val="18"/>
                <w:szCs w:val="18"/>
              </w:rPr>
              <w:t>-7</w:t>
            </w:r>
            <w:r>
              <w:rPr>
                <w:sz w:val="18"/>
                <w:szCs w:val="18"/>
              </w:rPr>
              <w:t>,</w:t>
            </w:r>
            <w:r w:rsidRPr="00F86255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033000" w14:textId="5B8AC8BF" w:rsidR="00F86255" w:rsidRPr="00F86255" w:rsidRDefault="00F86255" w:rsidP="00F86255">
            <w:pPr>
              <w:jc w:val="right"/>
              <w:rPr>
                <w:b/>
                <w:bCs/>
                <w:sz w:val="18"/>
                <w:szCs w:val="18"/>
              </w:rPr>
            </w:pPr>
            <w:r w:rsidRPr="00F86255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,</w:t>
            </w:r>
            <w:r w:rsidRPr="00F86255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B6AF42F" w14:textId="33366C24" w:rsidR="00F86255" w:rsidRPr="00F86255" w:rsidRDefault="00F86255" w:rsidP="00F86255">
            <w:pPr>
              <w:jc w:val="right"/>
              <w:rPr>
                <w:b/>
                <w:bCs/>
                <w:sz w:val="18"/>
                <w:szCs w:val="18"/>
              </w:rPr>
            </w:pPr>
            <w:r w:rsidRPr="00F86255">
              <w:rPr>
                <w:b/>
                <w:bCs/>
                <w:sz w:val="18"/>
                <w:szCs w:val="18"/>
              </w:rPr>
              <w:t>6</w:t>
            </w:r>
            <w:r>
              <w:rPr>
                <w:b/>
                <w:bCs/>
                <w:sz w:val="18"/>
                <w:szCs w:val="18"/>
              </w:rPr>
              <w:t>,</w:t>
            </w:r>
            <w:r w:rsidRPr="00F86255">
              <w:rPr>
                <w:b/>
                <w:bCs/>
                <w:sz w:val="18"/>
                <w:szCs w:val="18"/>
              </w:rPr>
              <w:t>6</w:t>
            </w:r>
          </w:p>
        </w:tc>
      </w:tr>
      <w:tr w:rsidR="00F86255" w:rsidRPr="00F86255" w14:paraId="0F059621" w14:textId="77777777" w:rsidTr="00F86255">
        <w:trPr>
          <w:trHeight w:val="255"/>
        </w:trPr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7B8429" w14:textId="77777777" w:rsidR="00F86255" w:rsidRPr="00F86255" w:rsidRDefault="00F86255" w:rsidP="00F86255">
            <w:pPr>
              <w:spacing w:line="240" w:lineRule="auto"/>
              <w:ind w:firstLineChars="200" w:firstLine="361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  <w:r w:rsidRPr="00F86255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 xml:space="preserve">Fixní investice </w:t>
            </w:r>
            <w:r w:rsidRPr="00F86255">
              <w:rPr>
                <w:rFonts w:eastAsia="Times New Roman"/>
                <w:bCs/>
                <w:sz w:val="18"/>
                <w:szCs w:val="18"/>
                <w:lang w:eastAsia="cs-CZ"/>
              </w:rPr>
              <w:t>(reálný růst, y/y v %)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32952F" w14:textId="1E391283" w:rsidR="00F86255" w:rsidRPr="00F86255" w:rsidRDefault="00F86255" w:rsidP="00F86255">
            <w:pPr>
              <w:jc w:val="right"/>
              <w:rPr>
                <w:sz w:val="18"/>
                <w:szCs w:val="18"/>
              </w:rPr>
            </w:pPr>
            <w:r w:rsidRPr="00F86255">
              <w:rPr>
                <w:sz w:val="18"/>
                <w:szCs w:val="18"/>
              </w:rPr>
              <w:t>-7</w:t>
            </w:r>
            <w:r>
              <w:rPr>
                <w:sz w:val="18"/>
                <w:szCs w:val="18"/>
              </w:rPr>
              <w:t>,</w:t>
            </w:r>
            <w:r w:rsidRPr="00F86255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2F9A2F" w14:textId="0CEFE793" w:rsidR="00F86255" w:rsidRPr="00F86255" w:rsidRDefault="00F86255" w:rsidP="00F86255">
            <w:pPr>
              <w:jc w:val="right"/>
              <w:rPr>
                <w:b/>
                <w:bCs/>
                <w:sz w:val="18"/>
                <w:szCs w:val="18"/>
              </w:rPr>
            </w:pPr>
            <w:r w:rsidRPr="00F86255">
              <w:rPr>
                <w:b/>
                <w:bCs/>
                <w:sz w:val="18"/>
                <w:szCs w:val="18"/>
              </w:rPr>
              <w:t>2</w:t>
            </w:r>
            <w:r>
              <w:rPr>
                <w:b/>
                <w:bCs/>
                <w:sz w:val="18"/>
                <w:szCs w:val="18"/>
              </w:rPr>
              <w:t>,</w:t>
            </w:r>
            <w:r w:rsidRPr="00F86255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41B29FE" w14:textId="409C9463" w:rsidR="00F86255" w:rsidRPr="00F86255" w:rsidRDefault="00F86255" w:rsidP="00F86255">
            <w:pPr>
              <w:jc w:val="right"/>
              <w:rPr>
                <w:b/>
                <w:bCs/>
                <w:sz w:val="18"/>
                <w:szCs w:val="18"/>
              </w:rPr>
            </w:pPr>
            <w:r w:rsidRPr="00F86255">
              <w:rPr>
                <w:b/>
                <w:bCs/>
                <w:sz w:val="18"/>
                <w:szCs w:val="18"/>
              </w:rPr>
              <w:t>5</w:t>
            </w:r>
            <w:r>
              <w:rPr>
                <w:b/>
                <w:bCs/>
                <w:sz w:val="18"/>
                <w:szCs w:val="18"/>
              </w:rPr>
              <w:t>,</w:t>
            </w:r>
            <w:r w:rsidRPr="00F86255">
              <w:rPr>
                <w:b/>
                <w:bCs/>
                <w:sz w:val="18"/>
                <w:szCs w:val="18"/>
              </w:rPr>
              <w:t>6</w:t>
            </w:r>
          </w:p>
        </w:tc>
      </w:tr>
      <w:tr w:rsidR="00F86255" w:rsidRPr="00F86255" w14:paraId="0965F7FD" w14:textId="77777777" w:rsidTr="00F86255">
        <w:trPr>
          <w:trHeight w:val="255"/>
        </w:trPr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1E9BD0" w14:textId="77777777" w:rsidR="00F86255" w:rsidRPr="00F86255" w:rsidRDefault="00F86255" w:rsidP="00F86255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  <w:r w:rsidRPr="00F86255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 xml:space="preserve">Zahraniční obchod </w:t>
            </w:r>
            <w:r w:rsidRPr="00F86255">
              <w:rPr>
                <w:rFonts w:eastAsia="Times New Roman"/>
                <w:bCs/>
                <w:sz w:val="18"/>
                <w:szCs w:val="18"/>
                <w:lang w:eastAsia="cs-CZ"/>
              </w:rPr>
              <w:t>(mld. CZK)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666494" w14:textId="6A2D97F6" w:rsidR="00F86255" w:rsidRPr="00F86255" w:rsidRDefault="00F86255" w:rsidP="00F86255">
            <w:pPr>
              <w:jc w:val="right"/>
              <w:rPr>
                <w:sz w:val="18"/>
                <w:szCs w:val="18"/>
              </w:rPr>
            </w:pPr>
            <w:r w:rsidRPr="00F86255">
              <w:rPr>
                <w:sz w:val="18"/>
                <w:szCs w:val="18"/>
              </w:rPr>
              <w:t>181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F0B874" w14:textId="5630A9E1" w:rsidR="00F86255" w:rsidRPr="00F86255" w:rsidRDefault="00F86255" w:rsidP="00F86255">
            <w:pPr>
              <w:jc w:val="right"/>
              <w:rPr>
                <w:b/>
                <w:bCs/>
                <w:sz w:val="18"/>
                <w:szCs w:val="18"/>
              </w:rPr>
            </w:pPr>
            <w:r w:rsidRPr="00F86255">
              <w:rPr>
                <w:b/>
                <w:bCs/>
                <w:sz w:val="18"/>
                <w:szCs w:val="18"/>
              </w:rPr>
              <w:t>18</w:t>
            </w: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83585C1" w14:textId="1550D4A5" w:rsidR="00F86255" w:rsidRPr="00F86255" w:rsidRDefault="00F86255" w:rsidP="00F86255">
            <w:pPr>
              <w:jc w:val="right"/>
              <w:rPr>
                <w:b/>
                <w:bCs/>
                <w:sz w:val="18"/>
                <w:szCs w:val="18"/>
              </w:rPr>
            </w:pPr>
            <w:r w:rsidRPr="00F86255">
              <w:rPr>
                <w:b/>
                <w:bCs/>
                <w:sz w:val="18"/>
                <w:szCs w:val="18"/>
              </w:rPr>
              <w:t>183</w:t>
            </w:r>
          </w:p>
        </w:tc>
      </w:tr>
      <w:tr w:rsidR="00F86255" w:rsidRPr="00F86255" w14:paraId="72382AF0" w14:textId="77777777" w:rsidTr="00F86255">
        <w:trPr>
          <w:trHeight w:val="255"/>
        </w:trPr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1DDD94" w14:textId="6D9CA291" w:rsidR="00F86255" w:rsidRPr="00F86255" w:rsidRDefault="00F86255" w:rsidP="00F86255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  <w:r w:rsidRPr="00F86255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 xml:space="preserve">Průmyslová výroba </w:t>
            </w:r>
            <w:r w:rsidRPr="00F86255">
              <w:rPr>
                <w:rFonts w:eastAsia="Times New Roman"/>
                <w:bCs/>
                <w:sz w:val="18"/>
                <w:szCs w:val="18"/>
                <w:lang w:eastAsia="cs-CZ"/>
              </w:rPr>
              <w:t>(reálný růst, y/y v %)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B3776D" w14:textId="52BE5C9B" w:rsidR="00F86255" w:rsidRPr="00F86255" w:rsidRDefault="00F86255" w:rsidP="00F86255">
            <w:pPr>
              <w:jc w:val="right"/>
              <w:rPr>
                <w:sz w:val="18"/>
                <w:szCs w:val="18"/>
              </w:rPr>
            </w:pPr>
            <w:r w:rsidRPr="00F86255">
              <w:rPr>
                <w:sz w:val="18"/>
                <w:szCs w:val="18"/>
              </w:rPr>
              <w:t>-7</w:t>
            </w:r>
            <w:r>
              <w:rPr>
                <w:sz w:val="18"/>
                <w:szCs w:val="18"/>
              </w:rPr>
              <w:t>,</w:t>
            </w:r>
            <w:r w:rsidRPr="00F86255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F75958" w14:textId="7B3C98CC" w:rsidR="00F86255" w:rsidRPr="00F86255" w:rsidRDefault="00F86255" w:rsidP="00F86255">
            <w:pPr>
              <w:jc w:val="right"/>
              <w:rPr>
                <w:b/>
                <w:bCs/>
                <w:sz w:val="18"/>
                <w:szCs w:val="18"/>
              </w:rPr>
            </w:pPr>
            <w:r w:rsidRPr="00F86255">
              <w:rPr>
                <w:b/>
                <w:bCs/>
                <w:sz w:val="18"/>
                <w:szCs w:val="18"/>
              </w:rPr>
              <w:t>10</w:t>
            </w:r>
            <w:r>
              <w:rPr>
                <w:b/>
                <w:bCs/>
                <w:sz w:val="18"/>
                <w:szCs w:val="18"/>
              </w:rPr>
              <w:t>,</w:t>
            </w:r>
            <w:r w:rsidRPr="00F86255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D4E7FA4" w14:textId="55BDCF54" w:rsidR="00F86255" w:rsidRPr="00F86255" w:rsidRDefault="00F86255" w:rsidP="00F86255">
            <w:pPr>
              <w:jc w:val="right"/>
              <w:rPr>
                <w:b/>
                <w:bCs/>
                <w:sz w:val="18"/>
                <w:szCs w:val="18"/>
              </w:rPr>
            </w:pPr>
            <w:r w:rsidRPr="00F86255">
              <w:rPr>
                <w:b/>
                <w:bCs/>
                <w:sz w:val="18"/>
                <w:szCs w:val="18"/>
              </w:rPr>
              <w:t>7</w:t>
            </w:r>
            <w:r>
              <w:rPr>
                <w:b/>
                <w:bCs/>
                <w:sz w:val="18"/>
                <w:szCs w:val="18"/>
              </w:rPr>
              <w:t>,</w:t>
            </w:r>
            <w:r w:rsidRPr="00F86255">
              <w:rPr>
                <w:b/>
                <w:bCs/>
                <w:sz w:val="18"/>
                <w:szCs w:val="18"/>
              </w:rPr>
              <w:t>3</w:t>
            </w:r>
          </w:p>
        </w:tc>
      </w:tr>
      <w:tr w:rsidR="00F86255" w:rsidRPr="00F86255" w14:paraId="24804667" w14:textId="77777777" w:rsidTr="00F86255">
        <w:trPr>
          <w:trHeight w:val="255"/>
        </w:trPr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1256D5" w14:textId="77777777" w:rsidR="00F86255" w:rsidRPr="00F86255" w:rsidRDefault="00F86255" w:rsidP="00F86255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  <w:r w:rsidRPr="00F86255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 xml:space="preserve">Maloobchodní tržby </w:t>
            </w:r>
            <w:r w:rsidRPr="00F86255">
              <w:rPr>
                <w:rFonts w:eastAsia="Times New Roman"/>
                <w:bCs/>
                <w:sz w:val="18"/>
                <w:szCs w:val="18"/>
                <w:lang w:eastAsia="cs-CZ"/>
              </w:rPr>
              <w:t>(reálný růst, y/y v %)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EDE0DD" w14:textId="21D22934" w:rsidR="00F86255" w:rsidRPr="00F86255" w:rsidRDefault="00F86255" w:rsidP="00F86255">
            <w:pPr>
              <w:jc w:val="right"/>
              <w:rPr>
                <w:sz w:val="18"/>
                <w:szCs w:val="18"/>
              </w:rPr>
            </w:pPr>
            <w:r w:rsidRPr="00F86255">
              <w:rPr>
                <w:sz w:val="18"/>
                <w:szCs w:val="18"/>
              </w:rPr>
              <w:t>-0</w:t>
            </w:r>
            <w:r>
              <w:rPr>
                <w:sz w:val="18"/>
                <w:szCs w:val="18"/>
              </w:rPr>
              <w:t>,</w:t>
            </w:r>
            <w:r w:rsidRPr="00F86255">
              <w:rPr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68A85E" w14:textId="4B4E0A63" w:rsidR="00F86255" w:rsidRPr="00F86255" w:rsidRDefault="00F86255" w:rsidP="00F86255">
            <w:pPr>
              <w:jc w:val="right"/>
              <w:rPr>
                <w:b/>
                <w:bCs/>
                <w:sz w:val="18"/>
                <w:szCs w:val="18"/>
              </w:rPr>
            </w:pPr>
            <w:r w:rsidRPr="00F86255">
              <w:rPr>
                <w:b/>
                <w:bCs/>
                <w:sz w:val="18"/>
                <w:szCs w:val="18"/>
              </w:rPr>
              <w:t>3</w:t>
            </w:r>
            <w:r>
              <w:rPr>
                <w:b/>
                <w:bCs/>
                <w:sz w:val="18"/>
                <w:szCs w:val="18"/>
              </w:rPr>
              <w:t>,</w:t>
            </w:r>
            <w:r w:rsidRPr="00F86255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DDA7960" w14:textId="43F31C79" w:rsidR="00F86255" w:rsidRPr="00F86255" w:rsidRDefault="00F86255" w:rsidP="00F86255">
            <w:pPr>
              <w:jc w:val="right"/>
              <w:rPr>
                <w:b/>
                <w:bCs/>
                <w:sz w:val="18"/>
                <w:szCs w:val="18"/>
              </w:rPr>
            </w:pPr>
            <w:r w:rsidRPr="00F86255">
              <w:rPr>
                <w:b/>
                <w:bCs/>
                <w:sz w:val="18"/>
                <w:szCs w:val="18"/>
              </w:rPr>
              <w:t>4</w:t>
            </w:r>
            <w:r>
              <w:rPr>
                <w:b/>
                <w:bCs/>
                <w:sz w:val="18"/>
                <w:szCs w:val="18"/>
              </w:rPr>
              <w:t>,</w:t>
            </w:r>
            <w:r w:rsidRPr="00F86255">
              <w:rPr>
                <w:b/>
                <w:bCs/>
                <w:sz w:val="18"/>
                <w:szCs w:val="18"/>
              </w:rPr>
              <w:t>9</w:t>
            </w:r>
          </w:p>
        </w:tc>
      </w:tr>
      <w:tr w:rsidR="00F86255" w:rsidRPr="00F86255" w14:paraId="32E126B9" w14:textId="77777777" w:rsidTr="00F86255">
        <w:trPr>
          <w:trHeight w:val="255"/>
        </w:trPr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1BF2F6" w14:textId="77777777" w:rsidR="00F86255" w:rsidRPr="00F86255" w:rsidRDefault="00F86255" w:rsidP="00F86255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  <w:r w:rsidRPr="00F86255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 xml:space="preserve">Mzdy </w:t>
            </w:r>
            <w:r w:rsidRPr="00F86255">
              <w:rPr>
                <w:rFonts w:eastAsia="Times New Roman"/>
                <w:bCs/>
                <w:sz w:val="18"/>
                <w:szCs w:val="18"/>
                <w:lang w:eastAsia="cs-CZ"/>
              </w:rPr>
              <w:t>(nominální růst, y/y v %)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BB27D1" w14:textId="48F9463F" w:rsidR="00F86255" w:rsidRPr="00F86255" w:rsidRDefault="00F86255" w:rsidP="00F86255">
            <w:pPr>
              <w:jc w:val="right"/>
              <w:rPr>
                <w:sz w:val="18"/>
                <w:szCs w:val="18"/>
              </w:rPr>
            </w:pPr>
            <w:r w:rsidRPr="00F86255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,</w:t>
            </w:r>
            <w:r w:rsidRPr="00F86255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7D3C7A" w14:textId="4F0E0FF7" w:rsidR="00F86255" w:rsidRPr="00F86255" w:rsidRDefault="00F86255" w:rsidP="00F86255">
            <w:pPr>
              <w:jc w:val="right"/>
              <w:rPr>
                <w:b/>
                <w:bCs/>
                <w:sz w:val="18"/>
                <w:szCs w:val="18"/>
              </w:rPr>
            </w:pPr>
            <w:r w:rsidRPr="00F86255">
              <w:rPr>
                <w:b/>
                <w:bCs/>
                <w:sz w:val="18"/>
                <w:szCs w:val="18"/>
              </w:rPr>
              <w:t>4</w:t>
            </w:r>
            <w:r>
              <w:rPr>
                <w:b/>
                <w:bCs/>
                <w:sz w:val="18"/>
                <w:szCs w:val="18"/>
              </w:rPr>
              <w:t>,</w:t>
            </w:r>
            <w:r w:rsidRPr="00F86255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328F5B5" w14:textId="0A77DCB1" w:rsidR="00F86255" w:rsidRPr="00F86255" w:rsidRDefault="00F86255" w:rsidP="00F86255">
            <w:pPr>
              <w:jc w:val="right"/>
              <w:rPr>
                <w:b/>
                <w:bCs/>
                <w:sz w:val="18"/>
                <w:szCs w:val="18"/>
              </w:rPr>
            </w:pPr>
            <w:r w:rsidRPr="00F86255">
              <w:rPr>
                <w:b/>
                <w:bCs/>
                <w:sz w:val="18"/>
                <w:szCs w:val="18"/>
              </w:rPr>
              <w:t>4</w:t>
            </w:r>
            <w:r>
              <w:rPr>
                <w:b/>
                <w:bCs/>
                <w:sz w:val="18"/>
                <w:szCs w:val="18"/>
              </w:rPr>
              <w:t>,</w:t>
            </w:r>
            <w:r w:rsidRPr="00F86255">
              <w:rPr>
                <w:b/>
                <w:bCs/>
                <w:sz w:val="18"/>
                <w:szCs w:val="18"/>
              </w:rPr>
              <w:t>2</w:t>
            </w:r>
          </w:p>
        </w:tc>
      </w:tr>
      <w:tr w:rsidR="00F86255" w:rsidRPr="00F86255" w14:paraId="765E7899" w14:textId="77777777" w:rsidTr="00F86255">
        <w:trPr>
          <w:trHeight w:val="255"/>
        </w:trPr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824749" w14:textId="24542659" w:rsidR="00F86255" w:rsidRPr="00F86255" w:rsidRDefault="00F86255" w:rsidP="00F86255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  <w:r w:rsidRPr="00F86255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 xml:space="preserve">Podíl nezaměstnaných </w:t>
            </w:r>
            <w:r w:rsidRPr="00F86255">
              <w:rPr>
                <w:rFonts w:eastAsia="Times New Roman"/>
                <w:bCs/>
                <w:sz w:val="18"/>
                <w:szCs w:val="18"/>
                <w:lang w:eastAsia="cs-CZ"/>
              </w:rPr>
              <w:t>(MPSV, průměr, v %)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B53AA6" w14:textId="26BDFA11" w:rsidR="00F86255" w:rsidRPr="00F86255" w:rsidRDefault="00F86255" w:rsidP="00F86255">
            <w:pPr>
              <w:jc w:val="right"/>
              <w:rPr>
                <w:sz w:val="18"/>
                <w:szCs w:val="18"/>
              </w:rPr>
            </w:pPr>
            <w:r w:rsidRPr="00F86255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,</w:t>
            </w:r>
            <w:r w:rsidRPr="00F86255">
              <w:rPr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BC21BD" w14:textId="69799AA9" w:rsidR="00F86255" w:rsidRPr="00F86255" w:rsidRDefault="00F86255" w:rsidP="00F86255">
            <w:pPr>
              <w:jc w:val="right"/>
              <w:rPr>
                <w:b/>
                <w:bCs/>
                <w:sz w:val="18"/>
                <w:szCs w:val="18"/>
              </w:rPr>
            </w:pPr>
            <w:r w:rsidRPr="00F86255">
              <w:rPr>
                <w:b/>
                <w:bCs/>
                <w:sz w:val="18"/>
                <w:szCs w:val="18"/>
              </w:rPr>
              <w:t>3</w:t>
            </w:r>
            <w:r>
              <w:rPr>
                <w:b/>
                <w:bCs/>
                <w:sz w:val="18"/>
                <w:szCs w:val="18"/>
              </w:rPr>
              <w:t>,</w:t>
            </w:r>
            <w:r w:rsidRPr="00F86255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7140CC2" w14:textId="22E76EC7" w:rsidR="00F86255" w:rsidRPr="00F86255" w:rsidRDefault="00F86255" w:rsidP="00F86255">
            <w:pPr>
              <w:jc w:val="right"/>
              <w:rPr>
                <w:b/>
                <w:bCs/>
                <w:sz w:val="18"/>
                <w:szCs w:val="18"/>
              </w:rPr>
            </w:pPr>
            <w:r w:rsidRPr="00F86255">
              <w:rPr>
                <w:b/>
                <w:bCs/>
                <w:sz w:val="18"/>
                <w:szCs w:val="18"/>
              </w:rPr>
              <w:t>3</w:t>
            </w:r>
            <w:r>
              <w:rPr>
                <w:b/>
                <w:bCs/>
                <w:sz w:val="18"/>
                <w:szCs w:val="18"/>
              </w:rPr>
              <w:t>,</w:t>
            </w:r>
            <w:r w:rsidRPr="00F86255">
              <w:rPr>
                <w:b/>
                <w:bCs/>
                <w:sz w:val="18"/>
                <w:szCs w:val="18"/>
              </w:rPr>
              <w:t>6</w:t>
            </w:r>
          </w:p>
        </w:tc>
      </w:tr>
      <w:tr w:rsidR="00F86255" w:rsidRPr="0089398A" w14:paraId="2BE629BE" w14:textId="77777777" w:rsidTr="00F86255">
        <w:trPr>
          <w:trHeight w:val="255"/>
        </w:trPr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E65A6C" w14:textId="73AD54F2" w:rsidR="00F86255" w:rsidRPr="00F86255" w:rsidRDefault="00F86255" w:rsidP="00F86255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  <w:r w:rsidRPr="00F86255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 xml:space="preserve">Inflace </w:t>
            </w:r>
            <w:r w:rsidRPr="00F86255">
              <w:rPr>
                <w:rFonts w:eastAsia="Times New Roman"/>
                <w:bCs/>
                <w:sz w:val="18"/>
                <w:szCs w:val="18"/>
                <w:lang w:eastAsia="cs-CZ"/>
              </w:rPr>
              <w:t>(průměr, v %)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438383" w14:textId="213FEF7B" w:rsidR="00F86255" w:rsidRPr="00F86255" w:rsidRDefault="00F86255" w:rsidP="00F86255">
            <w:pPr>
              <w:jc w:val="right"/>
              <w:rPr>
                <w:sz w:val="18"/>
                <w:szCs w:val="18"/>
              </w:rPr>
            </w:pPr>
            <w:r w:rsidRPr="00F86255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,</w:t>
            </w:r>
            <w:r w:rsidRPr="00F86255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A3FC21" w14:textId="348CB223" w:rsidR="00F86255" w:rsidRPr="00F86255" w:rsidRDefault="00F86255" w:rsidP="00F86255">
            <w:pPr>
              <w:jc w:val="right"/>
              <w:rPr>
                <w:b/>
                <w:bCs/>
                <w:sz w:val="18"/>
                <w:szCs w:val="18"/>
              </w:rPr>
            </w:pPr>
            <w:r w:rsidRPr="00F86255">
              <w:rPr>
                <w:b/>
                <w:bCs/>
                <w:sz w:val="18"/>
                <w:szCs w:val="18"/>
              </w:rPr>
              <w:t>2</w:t>
            </w:r>
            <w:r>
              <w:rPr>
                <w:b/>
                <w:bCs/>
                <w:sz w:val="18"/>
                <w:szCs w:val="18"/>
              </w:rPr>
              <w:t>,</w:t>
            </w:r>
            <w:r w:rsidRPr="00F86255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BDE0F39" w14:textId="0D2435EC" w:rsidR="00F86255" w:rsidRPr="00F86255" w:rsidRDefault="00F86255" w:rsidP="00F86255">
            <w:pPr>
              <w:jc w:val="right"/>
              <w:rPr>
                <w:b/>
                <w:bCs/>
                <w:sz w:val="18"/>
                <w:szCs w:val="18"/>
              </w:rPr>
            </w:pPr>
            <w:r w:rsidRPr="00F86255">
              <w:rPr>
                <w:b/>
                <w:bCs/>
                <w:sz w:val="18"/>
                <w:szCs w:val="18"/>
              </w:rPr>
              <w:t>2</w:t>
            </w:r>
            <w:r>
              <w:rPr>
                <w:b/>
                <w:bCs/>
                <w:sz w:val="18"/>
                <w:szCs w:val="18"/>
              </w:rPr>
              <w:t>,</w:t>
            </w:r>
            <w:r w:rsidRPr="00F86255">
              <w:rPr>
                <w:b/>
                <w:bCs/>
                <w:sz w:val="18"/>
                <w:szCs w:val="18"/>
              </w:rPr>
              <w:t>4</w:t>
            </w:r>
          </w:p>
        </w:tc>
      </w:tr>
      <w:tr w:rsidR="00F86255" w:rsidRPr="00F86255" w14:paraId="708678BE" w14:textId="77777777" w:rsidTr="00F86255">
        <w:trPr>
          <w:trHeight w:val="255"/>
        </w:trPr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3F72E1" w14:textId="77777777" w:rsidR="00F86255" w:rsidRPr="00F86255" w:rsidRDefault="00F86255" w:rsidP="00F86255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  <w:r w:rsidRPr="00F86255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 xml:space="preserve">3M PRIBOR </w:t>
            </w:r>
            <w:r w:rsidRPr="00F86255">
              <w:rPr>
                <w:rFonts w:eastAsia="Times New Roman"/>
                <w:bCs/>
                <w:sz w:val="18"/>
                <w:szCs w:val="18"/>
                <w:lang w:eastAsia="cs-CZ"/>
              </w:rPr>
              <w:t>(průměr)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B57612" w14:textId="34580209" w:rsidR="00F86255" w:rsidRPr="00F86255" w:rsidRDefault="00F86255" w:rsidP="00F86255">
            <w:pPr>
              <w:jc w:val="right"/>
              <w:rPr>
                <w:sz w:val="18"/>
                <w:szCs w:val="18"/>
              </w:rPr>
            </w:pPr>
            <w:r w:rsidRPr="00F86255">
              <w:rPr>
                <w:sz w:val="18"/>
                <w:szCs w:val="18"/>
              </w:rPr>
              <w:t>0,9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9C2A93" w14:textId="16F84F8B" w:rsidR="00F86255" w:rsidRPr="00F86255" w:rsidRDefault="00F86255" w:rsidP="00F86255">
            <w:pPr>
              <w:jc w:val="right"/>
              <w:rPr>
                <w:b/>
                <w:bCs/>
                <w:sz w:val="18"/>
                <w:szCs w:val="18"/>
              </w:rPr>
            </w:pPr>
            <w:r w:rsidRPr="00F86255">
              <w:rPr>
                <w:b/>
                <w:bCs/>
                <w:sz w:val="18"/>
                <w:szCs w:val="18"/>
              </w:rPr>
              <w:t>0,8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29596BA" w14:textId="3D42EDAA" w:rsidR="00F86255" w:rsidRPr="00F86255" w:rsidRDefault="00F86255" w:rsidP="00F86255">
            <w:pPr>
              <w:jc w:val="right"/>
              <w:rPr>
                <w:b/>
                <w:bCs/>
                <w:sz w:val="18"/>
                <w:szCs w:val="18"/>
              </w:rPr>
            </w:pPr>
            <w:r w:rsidRPr="00F86255">
              <w:rPr>
                <w:b/>
                <w:bCs/>
                <w:sz w:val="18"/>
                <w:szCs w:val="18"/>
              </w:rPr>
              <w:t>1,9</w:t>
            </w:r>
          </w:p>
        </w:tc>
      </w:tr>
      <w:tr w:rsidR="00F86255" w:rsidRPr="00F86255" w14:paraId="02A69D65" w14:textId="77777777" w:rsidTr="00F86255">
        <w:trPr>
          <w:trHeight w:val="255"/>
        </w:trPr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B904C6" w14:textId="77777777" w:rsidR="00F86255" w:rsidRPr="00F86255" w:rsidRDefault="00F86255" w:rsidP="00F86255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  <w:proofErr w:type="gramStart"/>
            <w:r w:rsidRPr="00F86255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2W</w:t>
            </w:r>
            <w:proofErr w:type="gramEnd"/>
            <w:r w:rsidRPr="00F86255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F86255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Repo</w:t>
            </w:r>
            <w:proofErr w:type="spellEnd"/>
            <w:r w:rsidRPr="00F86255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 xml:space="preserve"> </w:t>
            </w:r>
            <w:r w:rsidRPr="00F86255">
              <w:rPr>
                <w:rFonts w:eastAsia="Times New Roman"/>
                <w:bCs/>
                <w:sz w:val="18"/>
                <w:szCs w:val="18"/>
                <w:lang w:eastAsia="cs-CZ"/>
              </w:rPr>
              <w:t>(průměr)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5F9607" w14:textId="7BB39499" w:rsidR="00F86255" w:rsidRPr="00F86255" w:rsidRDefault="00F86255" w:rsidP="00F86255">
            <w:pPr>
              <w:jc w:val="right"/>
              <w:rPr>
                <w:sz w:val="18"/>
                <w:szCs w:val="18"/>
              </w:rPr>
            </w:pPr>
            <w:r w:rsidRPr="00F86255">
              <w:rPr>
                <w:sz w:val="18"/>
                <w:szCs w:val="18"/>
              </w:rPr>
              <w:t>0,8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6A0C95" w14:textId="6CE87AEB" w:rsidR="00F86255" w:rsidRPr="00F86255" w:rsidRDefault="00F86255" w:rsidP="00F86255">
            <w:pPr>
              <w:jc w:val="right"/>
              <w:rPr>
                <w:b/>
                <w:bCs/>
                <w:sz w:val="18"/>
                <w:szCs w:val="18"/>
              </w:rPr>
            </w:pPr>
            <w:r w:rsidRPr="00F86255">
              <w:rPr>
                <w:b/>
                <w:bCs/>
                <w:sz w:val="18"/>
                <w:szCs w:val="18"/>
              </w:rPr>
              <w:t>0,6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A41E40D" w14:textId="4D4E0AE1" w:rsidR="00F86255" w:rsidRPr="00F86255" w:rsidRDefault="00F86255" w:rsidP="00F86255">
            <w:pPr>
              <w:jc w:val="right"/>
              <w:rPr>
                <w:b/>
                <w:bCs/>
                <w:sz w:val="18"/>
                <w:szCs w:val="18"/>
              </w:rPr>
            </w:pPr>
            <w:r w:rsidRPr="00F86255">
              <w:rPr>
                <w:b/>
                <w:bCs/>
                <w:sz w:val="18"/>
                <w:szCs w:val="18"/>
              </w:rPr>
              <w:t>1,8</w:t>
            </w:r>
          </w:p>
        </w:tc>
      </w:tr>
      <w:tr w:rsidR="00F86255" w:rsidRPr="00F86255" w14:paraId="7D3BBE8B" w14:textId="77777777" w:rsidTr="00F86255">
        <w:trPr>
          <w:trHeight w:val="255"/>
        </w:trPr>
        <w:tc>
          <w:tcPr>
            <w:tcW w:w="563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14:paraId="13BB2B6C" w14:textId="77777777" w:rsidR="00F86255" w:rsidRPr="00F86255" w:rsidRDefault="00F86255" w:rsidP="00F86255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  <w:r w:rsidRPr="00F86255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 xml:space="preserve">EUR/CZK </w:t>
            </w:r>
            <w:r w:rsidRPr="00F86255">
              <w:rPr>
                <w:rFonts w:eastAsia="Times New Roman"/>
                <w:bCs/>
                <w:sz w:val="18"/>
                <w:szCs w:val="18"/>
                <w:lang w:eastAsia="cs-CZ"/>
              </w:rPr>
              <w:t>(průměr)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</w:tcPr>
          <w:p w14:paraId="789ECA57" w14:textId="2810BF66" w:rsidR="00F86255" w:rsidRPr="00F86255" w:rsidRDefault="00F86255" w:rsidP="00F86255">
            <w:pPr>
              <w:jc w:val="right"/>
              <w:rPr>
                <w:sz w:val="18"/>
                <w:szCs w:val="18"/>
              </w:rPr>
            </w:pPr>
            <w:r w:rsidRPr="00F86255">
              <w:rPr>
                <w:sz w:val="18"/>
                <w:szCs w:val="18"/>
              </w:rPr>
              <w:t>26,5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</w:tcPr>
          <w:p w14:paraId="44061067" w14:textId="7301665B" w:rsidR="00F86255" w:rsidRPr="00F86255" w:rsidRDefault="00F86255" w:rsidP="00F86255">
            <w:pPr>
              <w:jc w:val="right"/>
              <w:rPr>
                <w:b/>
                <w:bCs/>
                <w:sz w:val="18"/>
                <w:szCs w:val="18"/>
              </w:rPr>
            </w:pPr>
            <w:r w:rsidRPr="00F86255">
              <w:rPr>
                <w:b/>
                <w:bCs/>
                <w:sz w:val="18"/>
                <w:szCs w:val="18"/>
              </w:rPr>
              <w:t>25,6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</w:tcPr>
          <w:p w14:paraId="55260F46" w14:textId="529FF43A" w:rsidR="00F86255" w:rsidRPr="00F86255" w:rsidRDefault="00F86255" w:rsidP="00F86255">
            <w:pPr>
              <w:jc w:val="right"/>
              <w:rPr>
                <w:b/>
                <w:bCs/>
                <w:sz w:val="18"/>
                <w:szCs w:val="18"/>
              </w:rPr>
            </w:pPr>
            <w:r w:rsidRPr="00F86255">
              <w:rPr>
                <w:b/>
                <w:bCs/>
                <w:sz w:val="18"/>
                <w:szCs w:val="18"/>
              </w:rPr>
              <w:t>24,9</w:t>
            </w:r>
          </w:p>
        </w:tc>
      </w:tr>
    </w:tbl>
    <w:p w14:paraId="0566CC59" w14:textId="77777777" w:rsidR="002A4A29" w:rsidRPr="00F86255" w:rsidRDefault="002A4A29" w:rsidP="002A4A29">
      <w:pPr>
        <w:pStyle w:val="SourceLarge"/>
        <w:spacing w:after="0"/>
        <w:rPr>
          <w:lang w:val="cs-CZ"/>
        </w:rPr>
      </w:pPr>
      <w:r w:rsidRPr="00F86255">
        <w:rPr>
          <w:lang w:val="cs-CZ"/>
        </w:rPr>
        <w:t>Zdroj: ČSÚ, ČNB, MPSV, Macrobond, Ekonomický a stra</w:t>
      </w:r>
      <w:r w:rsidR="00931572" w:rsidRPr="00F86255">
        <w:rPr>
          <w:lang w:val="cs-CZ"/>
        </w:rPr>
        <w:t>tegický výzkum, Komerční banka</w:t>
      </w:r>
    </w:p>
    <w:p w14:paraId="72A3D3EC" w14:textId="77777777" w:rsidR="002A4A29" w:rsidRPr="00F86255" w:rsidRDefault="002A4A29" w:rsidP="002A4A29">
      <w:pPr>
        <w:spacing w:line="240" w:lineRule="auto"/>
        <w:rPr>
          <w:b/>
          <w:color w:val="000000"/>
          <w:sz w:val="10"/>
          <w:szCs w:val="10"/>
        </w:rPr>
      </w:pPr>
    </w:p>
    <w:p w14:paraId="0D0B940D" w14:textId="77777777" w:rsidR="002A4A29" w:rsidRPr="00F86255" w:rsidRDefault="002A4A29" w:rsidP="002A4A29">
      <w:pPr>
        <w:rPr>
          <w:b/>
          <w:color w:val="000000"/>
        </w:rPr>
      </w:pPr>
    </w:p>
    <w:p w14:paraId="325F5AE2" w14:textId="77777777" w:rsidR="002A4A29" w:rsidRPr="00F86255" w:rsidRDefault="000D4A02" w:rsidP="000C1449">
      <w:pPr>
        <w:spacing w:line="240" w:lineRule="auto"/>
        <w:rPr>
          <w:b/>
          <w:color w:val="000000"/>
        </w:rPr>
      </w:pPr>
      <w:r w:rsidRPr="00F86255">
        <w:rPr>
          <w:b/>
          <w:color w:val="000000"/>
        </w:rPr>
        <w:t>Jan Vejmělek</w:t>
      </w:r>
    </w:p>
    <w:p w14:paraId="4E173DB8" w14:textId="77777777" w:rsidR="002A4A29" w:rsidRPr="00F86255" w:rsidRDefault="002A4A29" w:rsidP="000C1449">
      <w:pPr>
        <w:spacing w:line="240" w:lineRule="auto"/>
        <w:rPr>
          <w:color w:val="000000"/>
        </w:rPr>
      </w:pPr>
      <w:r w:rsidRPr="00F86255">
        <w:rPr>
          <w:color w:val="000000"/>
        </w:rPr>
        <w:t>Hlavní ekonom Komerční banky</w:t>
      </w:r>
    </w:p>
    <w:p w14:paraId="5DC5FE8E" w14:textId="77777777" w:rsidR="00482F4F" w:rsidRPr="00F86255" w:rsidRDefault="002A4A29" w:rsidP="000C1449">
      <w:pPr>
        <w:spacing w:line="240" w:lineRule="auto"/>
        <w:jc w:val="both"/>
      </w:pPr>
      <w:r w:rsidRPr="00F86255">
        <w:t>tel.: +420 222 008 568</w:t>
      </w:r>
      <w:r w:rsidR="0046389D" w:rsidRPr="00F86255">
        <w:t>,</w:t>
      </w:r>
    </w:p>
    <w:p w14:paraId="6BD9381B" w14:textId="72B7F5D1" w:rsidR="001937C0" w:rsidRPr="00FF2346" w:rsidRDefault="00164297" w:rsidP="000C1449">
      <w:pPr>
        <w:spacing w:line="240" w:lineRule="auto"/>
        <w:jc w:val="both"/>
        <w:rPr>
          <w:rStyle w:val="Siln"/>
          <w:b w:val="0"/>
          <w:color w:val="E60028" w:themeColor="accent2"/>
        </w:rPr>
      </w:pPr>
      <w:hyperlink r:id="rId11" w:history="1">
        <w:r w:rsidR="000C1449" w:rsidRPr="00F86255">
          <w:rPr>
            <w:rStyle w:val="Hypertextovodkaz"/>
            <w:color w:val="E60028" w:themeColor="accent2"/>
            <w:u w:val="none"/>
          </w:rPr>
          <w:t>jan_vejmelek@kb.cz</w:t>
        </w:r>
      </w:hyperlink>
    </w:p>
    <w:sectPr w:rsidR="001937C0" w:rsidRPr="00FF2346" w:rsidSect="009A2F84">
      <w:headerReference w:type="default" r:id="rId12"/>
      <w:footerReference w:type="default" r:id="rId13"/>
      <w:pgSz w:w="11906" w:h="16838" w:code="9"/>
      <w:pgMar w:top="3800" w:right="849" w:bottom="1702" w:left="2098" w:header="709" w:footer="8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7B00A" w14:textId="77777777" w:rsidR="00BA7265" w:rsidRDefault="00BA7265">
      <w:pPr>
        <w:spacing w:line="240" w:lineRule="auto"/>
      </w:pPr>
      <w:r>
        <w:separator/>
      </w:r>
    </w:p>
  </w:endnote>
  <w:endnote w:type="continuationSeparator" w:id="0">
    <w:p w14:paraId="60061E4C" w14:textId="77777777" w:rsidR="00BA7265" w:rsidRDefault="00BA72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 CE Medium">
    <w:altName w:val="Arial"/>
    <w:panose1 w:val="00000000000000000000"/>
    <w:charset w:val="EE"/>
    <w:family w:val="auto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5ACD3" w14:textId="77777777" w:rsidR="0025724D" w:rsidRDefault="0025724D">
    <w:pPr>
      <w:pStyle w:val="Zpat"/>
    </w:pPr>
    <w:r w:rsidRPr="008E46AF">
      <w:t>Komerční banka, a. s., se sídlem: Praha 1, Na Příkopě 33, čp. 969, PSČ 114 07, IČ: 45317054</w:t>
    </w:r>
  </w:p>
  <w:p w14:paraId="2DEBF7D9" w14:textId="77777777" w:rsidR="0025724D" w:rsidRPr="0032179D" w:rsidRDefault="082246FC" w:rsidP="00E239AE">
    <w:pPr>
      <w:pStyle w:val="Zpat"/>
      <w:spacing w:before="60"/>
      <w:rPr>
        <w:sz w:val="12"/>
        <w:szCs w:val="12"/>
      </w:rPr>
    </w:pPr>
    <w:r w:rsidRPr="0032179D">
      <w:rPr>
        <w:sz w:val="12"/>
        <w:szCs w:val="12"/>
      </w:rPr>
      <w:t>Zapsaná v obchodním rejstříku vedeném městských soudem v Praze, oddíl b, vložka 1360</w:t>
    </w:r>
    <w:r w:rsidR="006574AB">
      <w:rPr>
        <w:noProof/>
        <w:lang w:val="cs-CZ" w:eastAsia="cs-CZ"/>
      </w:rPr>
      <w:drawing>
        <wp:anchor distT="0" distB="0" distL="114300" distR="114300" simplePos="0" relativeHeight="251658240" behindDoc="0" locked="1" layoutInCell="1" allowOverlap="1" wp14:anchorId="32AEDB65" wp14:editId="792383BC">
          <wp:simplePos x="0" y="0"/>
          <wp:positionH relativeFrom="page">
            <wp:posOffset>575945</wp:posOffset>
          </wp:positionH>
          <wp:positionV relativeFrom="page">
            <wp:posOffset>9725025</wp:posOffset>
          </wp:positionV>
          <wp:extent cx="571500" cy="393700"/>
          <wp:effectExtent l="0" t="0" r="0" b="6350"/>
          <wp:wrapNone/>
          <wp:docPr id="2" name="obrázek 2" descr="Popis: Popis: C:\!data\sablony\!Eurorscg\KB_TZ\prvky\SC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Popis: Popis: C:\!data\sablony\!Eurorscg\KB_TZ\prvky\SC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393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724D">
      <w:rPr>
        <w:sz w:val="12"/>
        <w:szCs w:val="12"/>
      </w:rPr>
      <w:tab/>
    </w:r>
    <w:r w:rsidR="00A25BA1" w:rsidRPr="00322610">
      <w:rPr>
        <w:color w:val="A7A9AC"/>
      </w:rPr>
      <w:fldChar w:fldCharType="begin"/>
    </w:r>
    <w:r w:rsidR="0025724D" w:rsidRPr="00322610">
      <w:rPr>
        <w:color w:val="A7A9AC"/>
      </w:rPr>
      <w:instrText xml:space="preserve"> PAGE   \* MERGEFORMAT </w:instrText>
    </w:r>
    <w:r w:rsidR="00A25BA1" w:rsidRPr="00322610">
      <w:rPr>
        <w:color w:val="A7A9AC"/>
      </w:rPr>
      <w:fldChar w:fldCharType="separate"/>
    </w:r>
    <w:r w:rsidR="00D00BE4">
      <w:rPr>
        <w:noProof/>
        <w:color w:val="A7A9AC"/>
      </w:rPr>
      <w:t>2</w:t>
    </w:r>
    <w:r w:rsidR="00A25BA1" w:rsidRPr="00322610">
      <w:rPr>
        <w:color w:val="A7A9AC"/>
      </w:rPr>
      <w:fldChar w:fldCharType="end"/>
    </w:r>
    <w:r w:rsidRPr="00322610">
      <w:rPr>
        <w:color w:val="A7A9AC"/>
      </w:rPr>
      <w:t>/</w:t>
    </w:r>
    <w:r w:rsidR="00F248AB">
      <w:rPr>
        <w:noProof/>
        <w:color w:val="A7A9AC"/>
      </w:rPr>
      <w:fldChar w:fldCharType="begin"/>
    </w:r>
    <w:r w:rsidR="00F248AB">
      <w:rPr>
        <w:noProof/>
        <w:color w:val="A7A9AC"/>
      </w:rPr>
      <w:instrText xml:space="preserve"> NUMPAGES   \* MERGEFORMAT </w:instrText>
    </w:r>
    <w:r w:rsidR="00F248AB">
      <w:rPr>
        <w:noProof/>
        <w:color w:val="A7A9AC"/>
      </w:rPr>
      <w:fldChar w:fldCharType="separate"/>
    </w:r>
    <w:r w:rsidR="00D00BE4">
      <w:rPr>
        <w:noProof/>
        <w:color w:val="A7A9AC"/>
      </w:rPr>
      <w:t>2</w:t>
    </w:r>
    <w:r w:rsidR="00F248AB">
      <w:rPr>
        <w:noProof/>
        <w:color w:val="A7A9AC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AFD9C" w14:textId="77777777" w:rsidR="00BA7265" w:rsidRDefault="00BA7265">
      <w:pPr>
        <w:spacing w:line="240" w:lineRule="auto"/>
      </w:pPr>
      <w:r>
        <w:separator/>
      </w:r>
    </w:p>
  </w:footnote>
  <w:footnote w:type="continuationSeparator" w:id="0">
    <w:p w14:paraId="4B94D5A5" w14:textId="77777777" w:rsidR="00BA7265" w:rsidRDefault="00BA726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94803" w14:textId="037B30C0" w:rsidR="00DC5CD5" w:rsidRDefault="00DC5CD5" w:rsidP="00DC5CD5">
    <w:pPr>
      <w:pStyle w:val="Zhlav"/>
      <w:jc w:val="right"/>
      <w:rPr>
        <w:b/>
        <w:color w:val="000000" w:themeColor="text1"/>
        <w:lang w:val="cs-CZ"/>
      </w:rPr>
    </w:pPr>
    <w:r>
      <w:rPr>
        <w:noProof/>
        <w:color w:val="A7A9AC"/>
        <w:sz w:val="24"/>
        <w:szCs w:val="24"/>
        <w:lang w:val="cs-CZ" w:eastAsia="cs-CZ"/>
      </w:rPr>
      <w:drawing>
        <wp:anchor distT="0" distB="0" distL="114300" distR="114300" simplePos="0" relativeHeight="251660288" behindDoc="1" locked="0" layoutInCell="1" allowOverlap="1" wp14:anchorId="54AC8D47" wp14:editId="2809E675">
          <wp:simplePos x="0" y="0"/>
          <wp:positionH relativeFrom="column">
            <wp:posOffset>-930275</wp:posOffset>
          </wp:positionH>
          <wp:positionV relativeFrom="paragraph">
            <wp:posOffset>-387350</wp:posOffset>
          </wp:positionV>
          <wp:extent cx="3649980" cy="2266950"/>
          <wp:effectExtent l="0" t="0" r="7620" b="0"/>
          <wp:wrapNone/>
          <wp:docPr id="1" name="Obrázek 1" descr="C:\Users\MILANV~1\AppData\Local\Temp\kb_r_300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LANV~1\AppData\Local\Temp\kb_r_300-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9980" cy="2266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EEC669" w14:textId="77777777" w:rsidR="00DC5CD5" w:rsidRDefault="00DC5CD5" w:rsidP="00DC5CD5">
    <w:pPr>
      <w:pStyle w:val="Zhlav"/>
      <w:jc w:val="right"/>
      <w:rPr>
        <w:color w:val="A7A9AC"/>
        <w:sz w:val="24"/>
        <w:szCs w:val="24"/>
        <w:lang w:val="cs-CZ"/>
      </w:rPr>
    </w:pPr>
  </w:p>
  <w:p w14:paraId="3656B9AB" w14:textId="77777777" w:rsidR="00DC5CD5" w:rsidRDefault="00DC5CD5" w:rsidP="00DC5CD5">
    <w:pPr>
      <w:pStyle w:val="Zhlav"/>
      <w:jc w:val="right"/>
      <w:rPr>
        <w:color w:val="A7A9AC"/>
        <w:sz w:val="24"/>
        <w:szCs w:val="24"/>
        <w:lang w:val="cs-CZ"/>
      </w:rPr>
    </w:pPr>
  </w:p>
  <w:p w14:paraId="45FB0818" w14:textId="77777777" w:rsidR="00DC5CD5" w:rsidRDefault="00DC5CD5" w:rsidP="00DC5CD5">
    <w:pPr>
      <w:pStyle w:val="Zhlav"/>
      <w:jc w:val="right"/>
      <w:rPr>
        <w:color w:val="A7A9AC"/>
        <w:sz w:val="24"/>
        <w:szCs w:val="24"/>
        <w:lang w:val="cs-CZ"/>
      </w:rPr>
    </w:pPr>
  </w:p>
  <w:p w14:paraId="049F31CB" w14:textId="77777777" w:rsidR="00DC5CD5" w:rsidRDefault="00DC5CD5" w:rsidP="00DC5CD5">
    <w:pPr>
      <w:pStyle w:val="Zhlav"/>
      <w:jc w:val="right"/>
      <w:rPr>
        <w:color w:val="A7A9AC"/>
        <w:sz w:val="24"/>
        <w:szCs w:val="24"/>
        <w:lang w:val="cs-CZ"/>
      </w:rPr>
    </w:pPr>
  </w:p>
  <w:p w14:paraId="53128261" w14:textId="77777777" w:rsidR="00DC5CD5" w:rsidRDefault="00DC5CD5" w:rsidP="00DC5CD5">
    <w:pPr>
      <w:pStyle w:val="Zhlav"/>
      <w:jc w:val="right"/>
      <w:rPr>
        <w:color w:val="A7A9AC"/>
        <w:sz w:val="24"/>
        <w:szCs w:val="24"/>
        <w:lang w:val="cs-CZ"/>
      </w:rPr>
    </w:pPr>
  </w:p>
  <w:p w14:paraId="62486C05" w14:textId="77777777" w:rsidR="00DC5CD5" w:rsidRDefault="00DC5CD5" w:rsidP="00DC5CD5">
    <w:pPr>
      <w:pStyle w:val="Zhlav"/>
      <w:jc w:val="right"/>
      <w:rPr>
        <w:color w:val="A7A9AC"/>
        <w:sz w:val="24"/>
        <w:szCs w:val="24"/>
        <w:lang w:val="cs-CZ"/>
      </w:rPr>
    </w:pPr>
  </w:p>
  <w:p w14:paraId="4101652C" w14:textId="77777777" w:rsidR="00DC5CD5" w:rsidRDefault="00DC5CD5" w:rsidP="00DC5CD5">
    <w:pPr>
      <w:pStyle w:val="Zhlav"/>
      <w:jc w:val="right"/>
      <w:rPr>
        <w:color w:val="A7A9AC"/>
        <w:sz w:val="24"/>
        <w:szCs w:val="24"/>
        <w:lang w:val="cs-CZ"/>
      </w:rPr>
    </w:pPr>
  </w:p>
  <w:p w14:paraId="79C863E1" w14:textId="26102419" w:rsidR="00DC5CD5" w:rsidRPr="00BD7498" w:rsidRDefault="00A4418E" w:rsidP="00DC5CD5">
    <w:pPr>
      <w:pStyle w:val="Zhlav"/>
      <w:jc w:val="right"/>
      <w:rPr>
        <w:color w:val="A7A9AC"/>
        <w:sz w:val="24"/>
        <w:szCs w:val="24"/>
        <w:lang w:val="cs-CZ"/>
      </w:rPr>
    </w:pPr>
    <w:r w:rsidRPr="005D49C1">
      <w:rPr>
        <w:color w:val="A7A9AC"/>
        <w:sz w:val="24"/>
        <w:szCs w:val="24"/>
        <w:lang w:val="cs-CZ"/>
      </w:rPr>
      <w:t xml:space="preserve">Praha, </w:t>
    </w:r>
    <w:r w:rsidR="005D49C1" w:rsidRPr="005D49C1">
      <w:rPr>
        <w:color w:val="A7A9AC"/>
        <w:sz w:val="24"/>
        <w:szCs w:val="24"/>
        <w:lang w:val="cs-CZ"/>
      </w:rPr>
      <w:t>2</w:t>
    </w:r>
    <w:r w:rsidR="001A4678">
      <w:rPr>
        <w:color w:val="A7A9AC"/>
        <w:sz w:val="24"/>
        <w:szCs w:val="24"/>
        <w:lang w:val="cs-CZ"/>
      </w:rPr>
      <w:t>8</w:t>
    </w:r>
    <w:r w:rsidR="00DC5CD5" w:rsidRPr="005D49C1">
      <w:rPr>
        <w:color w:val="A7A9AC"/>
        <w:sz w:val="24"/>
        <w:szCs w:val="24"/>
        <w:lang w:val="cs-CZ"/>
      </w:rPr>
      <w:t xml:space="preserve">. </w:t>
    </w:r>
    <w:r w:rsidR="00CA59FD">
      <w:rPr>
        <w:color w:val="A7A9AC"/>
        <w:sz w:val="24"/>
        <w:szCs w:val="24"/>
        <w:lang w:val="cs-CZ"/>
      </w:rPr>
      <w:t>července</w:t>
    </w:r>
    <w:r w:rsidR="005D49C1" w:rsidRPr="005D49C1">
      <w:rPr>
        <w:color w:val="A7A9AC"/>
        <w:sz w:val="24"/>
        <w:szCs w:val="24"/>
        <w:lang w:val="cs-CZ"/>
      </w:rPr>
      <w:t xml:space="preserve"> </w:t>
    </w:r>
    <w:r w:rsidR="00DC5CD5" w:rsidRPr="005D49C1">
      <w:rPr>
        <w:color w:val="A7A9AC"/>
        <w:sz w:val="24"/>
        <w:szCs w:val="24"/>
        <w:lang w:val="cs-CZ"/>
      </w:rPr>
      <w:t>202</w:t>
    </w:r>
    <w:r w:rsidR="00F547D1">
      <w:rPr>
        <w:color w:val="A7A9AC"/>
        <w:sz w:val="24"/>
        <w:szCs w:val="24"/>
        <w:lang w:val="cs-CZ"/>
      </w:rPr>
      <w:t>1</w:t>
    </w:r>
  </w:p>
  <w:p w14:paraId="4B99056E" w14:textId="77777777" w:rsidR="00DC5CD5" w:rsidRDefault="00DC5CD5" w:rsidP="00DC5CD5"/>
  <w:p w14:paraId="1299C43A" w14:textId="77777777" w:rsidR="007371DA" w:rsidRPr="00DC5CD5" w:rsidRDefault="007371DA" w:rsidP="00DC5CD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86B09"/>
    <w:multiLevelType w:val="hybridMultilevel"/>
    <w:tmpl w:val="E9841828"/>
    <w:lvl w:ilvl="0" w:tplc="EC0662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33FA5"/>
    <w:multiLevelType w:val="hybridMultilevel"/>
    <w:tmpl w:val="96AA791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94780"/>
    <w:multiLevelType w:val="hybridMultilevel"/>
    <w:tmpl w:val="930831DE"/>
    <w:lvl w:ilvl="0" w:tplc="8A043884">
      <w:start w:val="34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3C58F9"/>
    <w:multiLevelType w:val="hybridMultilevel"/>
    <w:tmpl w:val="16E6E3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C8206C"/>
    <w:multiLevelType w:val="hybridMultilevel"/>
    <w:tmpl w:val="EC1A60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253ADF"/>
    <w:multiLevelType w:val="hybridMultilevel"/>
    <w:tmpl w:val="99303B6E"/>
    <w:lvl w:ilvl="0" w:tplc="E9103594">
      <w:start w:val="1"/>
      <w:numFmt w:val="bullet"/>
      <w:pStyle w:val="retrait1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FF0000"/>
        <w:sz w:val="16"/>
        <w:u w:val="none" w:color="339966"/>
        <w:vertAlign w:val="baseline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BD34AD"/>
    <w:multiLevelType w:val="hybridMultilevel"/>
    <w:tmpl w:val="2D406BF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D7341E"/>
    <w:multiLevelType w:val="hybridMultilevel"/>
    <w:tmpl w:val="67663A02"/>
    <w:lvl w:ilvl="0" w:tplc="75E4218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AB0A67"/>
    <w:multiLevelType w:val="hybridMultilevel"/>
    <w:tmpl w:val="880238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8F7513"/>
    <w:multiLevelType w:val="hybridMultilevel"/>
    <w:tmpl w:val="230CEB74"/>
    <w:lvl w:ilvl="0" w:tplc="EC06620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3E3F66"/>
    <w:multiLevelType w:val="hybridMultilevel"/>
    <w:tmpl w:val="E140D466"/>
    <w:lvl w:ilvl="0" w:tplc="10968E24">
      <w:start w:val="50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A443365"/>
    <w:multiLevelType w:val="hybridMultilevel"/>
    <w:tmpl w:val="C44E7D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E415B4"/>
    <w:multiLevelType w:val="hybridMultilevel"/>
    <w:tmpl w:val="A046114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F96FB0"/>
    <w:multiLevelType w:val="hybridMultilevel"/>
    <w:tmpl w:val="E118F66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AF1E0E"/>
    <w:multiLevelType w:val="multilevel"/>
    <w:tmpl w:val="52F27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6953CF"/>
    <w:multiLevelType w:val="multilevel"/>
    <w:tmpl w:val="EE9ED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8797D00"/>
    <w:multiLevelType w:val="hybridMultilevel"/>
    <w:tmpl w:val="5E38F20A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"/>
  </w:num>
  <w:num w:numId="6">
    <w:abstractNumId w:val="12"/>
  </w:num>
  <w:num w:numId="7">
    <w:abstractNumId w:val="15"/>
  </w:num>
  <w:num w:numId="8">
    <w:abstractNumId w:val="13"/>
  </w:num>
  <w:num w:numId="9">
    <w:abstractNumId w:val="5"/>
  </w:num>
  <w:num w:numId="10">
    <w:abstractNumId w:val="11"/>
  </w:num>
  <w:num w:numId="11">
    <w:abstractNumId w:val="14"/>
  </w:num>
  <w:num w:numId="12">
    <w:abstractNumId w:val="7"/>
  </w:num>
  <w:num w:numId="13">
    <w:abstractNumId w:val="9"/>
  </w:num>
  <w:num w:numId="14">
    <w:abstractNumId w:val="1"/>
  </w:num>
  <w:num w:numId="15">
    <w:abstractNumId w:val="0"/>
  </w:num>
  <w:num w:numId="16">
    <w:abstractNumId w:val="2"/>
  </w:num>
  <w:num w:numId="17">
    <w:abstractNumId w:val="4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96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AwMTc0MjOyNDEwNTZQ0lEKTi0uzszPAykwqgUA22y9TSwAAAA="/>
  </w:docVars>
  <w:rsids>
    <w:rsidRoot w:val="00070E74"/>
    <w:rsid w:val="000002A9"/>
    <w:rsid w:val="00003FB6"/>
    <w:rsid w:val="00027A0B"/>
    <w:rsid w:val="00027C8D"/>
    <w:rsid w:val="00032DB2"/>
    <w:rsid w:val="0003398E"/>
    <w:rsid w:val="00034266"/>
    <w:rsid w:val="000350D1"/>
    <w:rsid w:val="000378E3"/>
    <w:rsid w:val="00040221"/>
    <w:rsid w:val="000407BE"/>
    <w:rsid w:val="00041E39"/>
    <w:rsid w:val="0004378C"/>
    <w:rsid w:val="000465BB"/>
    <w:rsid w:val="0004694C"/>
    <w:rsid w:val="00046ACF"/>
    <w:rsid w:val="000507BC"/>
    <w:rsid w:val="000515FC"/>
    <w:rsid w:val="00051846"/>
    <w:rsid w:val="00053F52"/>
    <w:rsid w:val="000560E0"/>
    <w:rsid w:val="00067B57"/>
    <w:rsid w:val="00070E74"/>
    <w:rsid w:val="0007165D"/>
    <w:rsid w:val="00072F3E"/>
    <w:rsid w:val="00074A8A"/>
    <w:rsid w:val="00077985"/>
    <w:rsid w:val="0008303F"/>
    <w:rsid w:val="000850E4"/>
    <w:rsid w:val="000869B0"/>
    <w:rsid w:val="0009001F"/>
    <w:rsid w:val="00092D45"/>
    <w:rsid w:val="000935E3"/>
    <w:rsid w:val="00097E3B"/>
    <w:rsid w:val="000A2E69"/>
    <w:rsid w:val="000A38ED"/>
    <w:rsid w:val="000A7016"/>
    <w:rsid w:val="000B56D6"/>
    <w:rsid w:val="000B7FA9"/>
    <w:rsid w:val="000C0C31"/>
    <w:rsid w:val="000C123A"/>
    <w:rsid w:val="000C1449"/>
    <w:rsid w:val="000C5D34"/>
    <w:rsid w:val="000C7C06"/>
    <w:rsid w:val="000D3BB3"/>
    <w:rsid w:val="000D3C5C"/>
    <w:rsid w:val="000D4A02"/>
    <w:rsid w:val="000D5D6E"/>
    <w:rsid w:val="000D7DB6"/>
    <w:rsid w:val="000E039B"/>
    <w:rsid w:val="000E04CC"/>
    <w:rsid w:val="000E117D"/>
    <w:rsid w:val="000E58C7"/>
    <w:rsid w:val="000E6584"/>
    <w:rsid w:val="000F5104"/>
    <w:rsid w:val="000F5276"/>
    <w:rsid w:val="000F5B6E"/>
    <w:rsid w:val="00102FF7"/>
    <w:rsid w:val="00105BC7"/>
    <w:rsid w:val="00106510"/>
    <w:rsid w:val="00106C98"/>
    <w:rsid w:val="00113A67"/>
    <w:rsid w:val="00115391"/>
    <w:rsid w:val="001163EC"/>
    <w:rsid w:val="001175E4"/>
    <w:rsid w:val="00123B40"/>
    <w:rsid w:val="00126E72"/>
    <w:rsid w:val="00127474"/>
    <w:rsid w:val="001309FF"/>
    <w:rsid w:val="00133BBF"/>
    <w:rsid w:val="0013455E"/>
    <w:rsid w:val="00136236"/>
    <w:rsid w:val="001417B3"/>
    <w:rsid w:val="00147AFD"/>
    <w:rsid w:val="00156FA5"/>
    <w:rsid w:val="00164297"/>
    <w:rsid w:val="0016772C"/>
    <w:rsid w:val="00170638"/>
    <w:rsid w:val="001716C0"/>
    <w:rsid w:val="00174643"/>
    <w:rsid w:val="00175819"/>
    <w:rsid w:val="001766CE"/>
    <w:rsid w:val="00180CF6"/>
    <w:rsid w:val="001811B5"/>
    <w:rsid w:val="001852DF"/>
    <w:rsid w:val="0018735D"/>
    <w:rsid w:val="00193645"/>
    <w:rsid w:val="001937C0"/>
    <w:rsid w:val="00193F64"/>
    <w:rsid w:val="00195BF0"/>
    <w:rsid w:val="00197048"/>
    <w:rsid w:val="001970FC"/>
    <w:rsid w:val="001A2860"/>
    <w:rsid w:val="001A3B4A"/>
    <w:rsid w:val="001A440E"/>
    <w:rsid w:val="001A4678"/>
    <w:rsid w:val="001A5D26"/>
    <w:rsid w:val="001A6DFA"/>
    <w:rsid w:val="001B429A"/>
    <w:rsid w:val="001C2EC2"/>
    <w:rsid w:val="001C59FE"/>
    <w:rsid w:val="001D11A6"/>
    <w:rsid w:val="001D39F7"/>
    <w:rsid w:val="001D4697"/>
    <w:rsid w:val="001D4E0D"/>
    <w:rsid w:val="001D7C1E"/>
    <w:rsid w:val="001E0817"/>
    <w:rsid w:val="001E0E6F"/>
    <w:rsid w:val="001E1E10"/>
    <w:rsid w:val="001E2CFF"/>
    <w:rsid w:val="001E3EC2"/>
    <w:rsid w:val="001E5197"/>
    <w:rsid w:val="001F243B"/>
    <w:rsid w:val="001F528F"/>
    <w:rsid w:val="001F5962"/>
    <w:rsid w:val="001F6832"/>
    <w:rsid w:val="00202327"/>
    <w:rsid w:val="0020569E"/>
    <w:rsid w:val="00206766"/>
    <w:rsid w:val="0021215A"/>
    <w:rsid w:val="00213923"/>
    <w:rsid w:val="00213E0C"/>
    <w:rsid w:val="002165B7"/>
    <w:rsid w:val="00216B51"/>
    <w:rsid w:val="00217358"/>
    <w:rsid w:val="0021793D"/>
    <w:rsid w:val="00220BB8"/>
    <w:rsid w:val="00224102"/>
    <w:rsid w:val="002252B0"/>
    <w:rsid w:val="002276CD"/>
    <w:rsid w:val="002303D4"/>
    <w:rsid w:val="0023044C"/>
    <w:rsid w:val="00230D98"/>
    <w:rsid w:val="00235B2B"/>
    <w:rsid w:val="00237337"/>
    <w:rsid w:val="002400F6"/>
    <w:rsid w:val="002439D4"/>
    <w:rsid w:val="00244E48"/>
    <w:rsid w:val="0024739F"/>
    <w:rsid w:val="00250679"/>
    <w:rsid w:val="002512CE"/>
    <w:rsid w:val="00255130"/>
    <w:rsid w:val="00255EBA"/>
    <w:rsid w:val="0025724D"/>
    <w:rsid w:val="002608C8"/>
    <w:rsid w:val="002611A0"/>
    <w:rsid w:val="00261D42"/>
    <w:rsid w:val="002645AF"/>
    <w:rsid w:val="00265C05"/>
    <w:rsid w:val="00272587"/>
    <w:rsid w:val="00272A29"/>
    <w:rsid w:val="00272D3B"/>
    <w:rsid w:val="0027559E"/>
    <w:rsid w:val="00275723"/>
    <w:rsid w:val="00276A42"/>
    <w:rsid w:val="00276A6B"/>
    <w:rsid w:val="002772D2"/>
    <w:rsid w:val="00277452"/>
    <w:rsid w:val="00291B06"/>
    <w:rsid w:val="0029774F"/>
    <w:rsid w:val="002A056B"/>
    <w:rsid w:val="002A3F1D"/>
    <w:rsid w:val="002A3F2B"/>
    <w:rsid w:val="002A4867"/>
    <w:rsid w:val="002A4A29"/>
    <w:rsid w:val="002A507A"/>
    <w:rsid w:val="002B1B84"/>
    <w:rsid w:val="002C00E8"/>
    <w:rsid w:val="002C2375"/>
    <w:rsid w:val="002C39F3"/>
    <w:rsid w:val="002D3988"/>
    <w:rsid w:val="002D3A50"/>
    <w:rsid w:val="002D5251"/>
    <w:rsid w:val="002D7800"/>
    <w:rsid w:val="002E1944"/>
    <w:rsid w:val="002E305F"/>
    <w:rsid w:val="002E768E"/>
    <w:rsid w:val="002F0B75"/>
    <w:rsid w:val="002F1DA5"/>
    <w:rsid w:val="002F2407"/>
    <w:rsid w:val="002F24AC"/>
    <w:rsid w:val="002F57E6"/>
    <w:rsid w:val="002F7DEA"/>
    <w:rsid w:val="00305512"/>
    <w:rsid w:val="003104B9"/>
    <w:rsid w:val="00310CE8"/>
    <w:rsid w:val="00310D3E"/>
    <w:rsid w:val="00310EC9"/>
    <w:rsid w:val="003170B9"/>
    <w:rsid w:val="003206BC"/>
    <w:rsid w:val="00320C2F"/>
    <w:rsid w:val="003215F5"/>
    <w:rsid w:val="00325E8C"/>
    <w:rsid w:val="0033563D"/>
    <w:rsid w:val="00340428"/>
    <w:rsid w:val="00342A4D"/>
    <w:rsid w:val="00344398"/>
    <w:rsid w:val="00347C56"/>
    <w:rsid w:val="00351BBA"/>
    <w:rsid w:val="00352684"/>
    <w:rsid w:val="0035587D"/>
    <w:rsid w:val="00357E5F"/>
    <w:rsid w:val="0036180A"/>
    <w:rsid w:val="00367403"/>
    <w:rsid w:val="00367B6F"/>
    <w:rsid w:val="0037045E"/>
    <w:rsid w:val="00373BB3"/>
    <w:rsid w:val="00384EC2"/>
    <w:rsid w:val="0038737C"/>
    <w:rsid w:val="00390A4A"/>
    <w:rsid w:val="00391412"/>
    <w:rsid w:val="00391CAF"/>
    <w:rsid w:val="0039466C"/>
    <w:rsid w:val="00394B5B"/>
    <w:rsid w:val="003973E5"/>
    <w:rsid w:val="003A0654"/>
    <w:rsid w:val="003A28A7"/>
    <w:rsid w:val="003A60F0"/>
    <w:rsid w:val="003B057F"/>
    <w:rsid w:val="003B3E61"/>
    <w:rsid w:val="003B4BD4"/>
    <w:rsid w:val="003C15E8"/>
    <w:rsid w:val="003C25A8"/>
    <w:rsid w:val="003C3243"/>
    <w:rsid w:val="003C3BA9"/>
    <w:rsid w:val="003C6D6F"/>
    <w:rsid w:val="003C6D8E"/>
    <w:rsid w:val="003D0DA9"/>
    <w:rsid w:val="003D3770"/>
    <w:rsid w:val="003D50CA"/>
    <w:rsid w:val="003D658A"/>
    <w:rsid w:val="003F17D6"/>
    <w:rsid w:val="003F5E67"/>
    <w:rsid w:val="00401549"/>
    <w:rsid w:val="00404473"/>
    <w:rsid w:val="004062E6"/>
    <w:rsid w:val="0041138F"/>
    <w:rsid w:val="0041439A"/>
    <w:rsid w:val="004157E1"/>
    <w:rsid w:val="004215A9"/>
    <w:rsid w:val="00433C93"/>
    <w:rsid w:val="004341F5"/>
    <w:rsid w:val="00435153"/>
    <w:rsid w:val="0043530B"/>
    <w:rsid w:val="004437EA"/>
    <w:rsid w:val="00443B87"/>
    <w:rsid w:val="0044654B"/>
    <w:rsid w:val="00456652"/>
    <w:rsid w:val="0046301D"/>
    <w:rsid w:val="0046389D"/>
    <w:rsid w:val="00465896"/>
    <w:rsid w:val="0046660E"/>
    <w:rsid w:val="00472864"/>
    <w:rsid w:val="004729D3"/>
    <w:rsid w:val="00475AC0"/>
    <w:rsid w:val="00482F4F"/>
    <w:rsid w:val="00484A41"/>
    <w:rsid w:val="00492C80"/>
    <w:rsid w:val="0049576F"/>
    <w:rsid w:val="0049675B"/>
    <w:rsid w:val="004969AC"/>
    <w:rsid w:val="004A19AF"/>
    <w:rsid w:val="004A4757"/>
    <w:rsid w:val="004B2218"/>
    <w:rsid w:val="004B3817"/>
    <w:rsid w:val="004B50C2"/>
    <w:rsid w:val="004B6C57"/>
    <w:rsid w:val="004C0EE0"/>
    <w:rsid w:val="004C6292"/>
    <w:rsid w:val="004D301D"/>
    <w:rsid w:val="004D410D"/>
    <w:rsid w:val="004D60A5"/>
    <w:rsid w:val="004D6FC6"/>
    <w:rsid w:val="004E0422"/>
    <w:rsid w:val="004E6EBC"/>
    <w:rsid w:val="004F1277"/>
    <w:rsid w:val="004F204A"/>
    <w:rsid w:val="004F5526"/>
    <w:rsid w:val="00504235"/>
    <w:rsid w:val="00505F9E"/>
    <w:rsid w:val="00507852"/>
    <w:rsid w:val="00512509"/>
    <w:rsid w:val="00517F5E"/>
    <w:rsid w:val="005222F3"/>
    <w:rsid w:val="0052297F"/>
    <w:rsid w:val="00524E8A"/>
    <w:rsid w:val="00525D94"/>
    <w:rsid w:val="005307D6"/>
    <w:rsid w:val="0053168C"/>
    <w:rsid w:val="0053219D"/>
    <w:rsid w:val="00534D2A"/>
    <w:rsid w:val="00540297"/>
    <w:rsid w:val="00541113"/>
    <w:rsid w:val="00541FA6"/>
    <w:rsid w:val="00546259"/>
    <w:rsid w:val="00551982"/>
    <w:rsid w:val="00553B9F"/>
    <w:rsid w:val="00556CE4"/>
    <w:rsid w:val="00565F9F"/>
    <w:rsid w:val="00571902"/>
    <w:rsid w:val="00573636"/>
    <w:rsid w:val="00573B1A"/>
    <w:rsid w:val="005768DC"/>
    <w:rsid w:val="0057779C"/>
    <w:rsid w:val="00580EFB"/>
    <w:rsid w:val="00586E93"/>
    <w:rsid w:val="00590EC4"/>
    <w:rsid w:val="0059171E"/>
    <w:rsid w:val="00593D9D"/>
    <w:rsid w:val="00594078"/>
    <w:rsid w:val="005A591B"/>
    <w:rsid w:val="005B1BFE"/>
    <w:rsid w:val="005B5AD7"/>
    <w:rsid w:val="005B7113"/>
    <w:rsid w:val="005C0221"/>
    <w:rsid w:val="005D08B1"/>
    <w:rsid w:val="005D0A7B"/>
    <w:rsid w:val="005D1C0A"/>
    <w:rsid w:val="005D3906"/>
    <w:rsid w:val="005D3ECE"/>
    <w:rsid w:val="005D49C1"/>
    <w:rsid w:val="005E0613"/>
    <w:rsid w:val="005E6413"/>
    <w:rsid w:val="005F2E94"/>
    <w:rsid w:val="005F53F2"/>
    <w:rsid w:val="005F5EA6"/>
    <w:rsid w:val="00601866"/>
    <w:rsid w:val="0060334F"/>
    <w:rsid w:val="00622F14"/>
    <w:rsid w:val="0062419C"/>
    <w:rsid w:val="00626395"/>
    <w:rsid w:val="00626948"/>
    <w:rsid w:val="0062764C"/>
    <w:rsid w:val="0063043E"/>
    <w:rsid w:val="00630C42"/>
    <w:rsid w:val="00631588"/>
    <w:rsid w:val="006408B9"/>
    <w:rsid w:val="00642980"/>
    <w:rsid w:val="00651197"/>
    <w:rsid w:val="006522F8"/>
    <w:rsid w:val="0065541E"/>
    <w:rsid w:val="006574AB"/>
    <w:rsid w:val="00657D19"/>
    <w:rsid w:val="00665F24"/>
    <w:rsid w:val="006732C4"/>
    <w:rsid w:val="006741C3"/>
    <w:rsid w:val="006749AC"/>
    <w:rsid w:val="00674AEA"/>
    <w:rsid w:val="00676E4F"/>
    <w:rsid w:val="00677FC9"/>
    <w:rsid w:val="00680922"/>
    <w:rsid w:val="00681DF9"/>
    <w:rsid w:val="0068315D"/>
    <w:rsid w:val="00687BAE"/>
    <w:rsid w:val="006920F8"/>
    <w:rsid w:val="0069488C"/>
    <w:rsid w:val="0069647D"/>
    <w:rsid w:val="0069691C"/>
    <w:rsid w:val="00697E66"/>
    <w:rsid w:val="006A042C"/>
    <w:rsid w:val="006A1426"/>
    <w:rsid w:val="006A268E"/>
    <w:rsid w:val="006A4E38"/>
    <w:rsid w:val="006A7587"/>
    <w:rsid w:val="006B0032"/>
    <w:rsid w:val="006B2031"/>
    <w:rsid w:val="006B3683"/>
    <w:rsid w:val="006B6C18"/>
    <w:rsid w:val="006C1267"/>
    <w:rsid w:val="006C7299"/>
    <w:rsid w:val="006D2CF3"/>
    <w:rsid w:val="006E0F7C"/>
    <w:rsid w:val="006E11CB"/>
    <w:rsid w:val="006E18F8"/>
    <w:rsid w:val="006E60B5"/>
    <w:rsid w:val="006E6E58"/>
    <w:rsid w:val="006E7E97"/>
    <w:rsid w:val="006F0728"/>
    <w:rsid w:val="006F0D04"/>
    <w:rsid w:val="007072B6"/>
    <w:rsid w:val="007152AA"/>
    <w:rsid w:val="00724D2F"/>
    <w:rsid w:val="00725D58"/>
    <w:rsid w:val="0072674C"/>
    <w:rsid w:val="00726A85"/>
    <w:rsid w:val="007301E6"/>
    <w:rsid w:val="00733AD7"/>
    <w:rsid w:val="00734EE4"/>
    <w:rsid w:val="0073573B"/>
    <w:rsid w:val="00735AA8"/>
    <w:rsid w:val="007371DA"/>
    <w:rsid w:val="00742683"/>
    <w:rsid w:val="0074358E"/>
    <w:rsid w:val="00747137"/>
    <w:rsid w:val="00750397"/>
    <w:rsid w:val="007506A4"/>
    <w:rsid w:val="00751F01"/>
    <w:rsid w:val="007526BF"/>
    <w:rsid w:val="0075364E"/>
    <w:rsid w:val="00755196"/>
    <w:rsid w:val="007551D2"/>
    <w:rsid w:val="00755359"/>
    <w:rsid w:val="0076104A"/>
    <w:rsid w:val="00766DCB"/>
    <w:rsid w:val="0077043E"/>
    <w:rsid w:val="00770765"/>
    <w:rsid w:val="00773C87"/>
    <w:rsid w:val="00774A05"/>
    <w:rsid w:val="00774CA9"/>
    <w:rsid w:val="007767A5"/>
    <w:rsid w:val="0078166F"/>
    <w:rsid w:val="00784598"/>
    <w:rsid w:val="00786C52"/>
    <w:rsid w:val="0078733B"/>
    <w:rsid w:val="00797469"/>
    <w:rsid w:val="007A101A"/>
    <w:rsid w:val="007A5A49"/>
    <w:rsid w:val="007A6A1A"/>
    <w:rsid w:val="007B021A"/>
    <w:rsid w:val="007B0B1A"/>
    <w:rsid w:val="007B666E"/>
    <w:rsid w:val="007C3172"/>
    <w:rsid w:val="007D2EC3"/>
    <w:rsid w:val="007D4F54"/>
    <w:rsid w:val="007D7419"/>
    <w:rsid w:val="007E027B"/>
    <w:rsid w:val="007E1279"/>
    <w:rsid w:val="007E462F"/>
    <w:rsid w:val="007F0EFC"/>
    <w:rsid w:val="007F15E7"/>
    <w:rsid w:val="007F6737"/>
    <w:rsid w:val="007F690A"/>
    <w:rsid w:val="007F7588"/>
    <w:rsid w:val="007F7911"/>
    <w:rsid w:val="008024BE"/>
    <w:rsid w:val="00802800"/>
    <w:rsid w:val="00802B93"/>
    <w:rsid w:val="0080387D"/>
    <w:rsid w:val="008042DE"/>
    <w:rsid w:val="00811824"/>
    <w:rsid w:val="0081209B"/>
    <w:rsid w:val="008145BE"/>
    <w:rsid w:val="008160FF"/>
    <w:rsid w:val="00820A89"/>
    <w:rsid w:val="008332FB"/>
    <w:rsid w:val="008454E0"/>
    <w:rsid w:val="0085552E"/>
    <w:rsid w:val="00856C85"/>
    <w:rsid w:val="00857686"/>
    <w:rsid w:val="00857E46"/>
    <w:rsid w:val="008603EF"/>
    <w:rsid w:val="00860926"/>
    <w:rsid w:val="0086260C"/>
    <w:rsid w:val="008705BF"/>
    <w:rsid w:val="00872C52"/>
    <w:rsid w:val="00874223"/>
    <w:rsid w:val="00874F9C"/>
    <w:rsid w:val="0088627E"/>
    <w:rsid w:val="008901CF"/>
    <w:rsid w:val="00892C60"/>
    <w:rsid w:val="0089398A"/>
    <w:rsid w:val="00895768"/>
    <w:rsid w:val="008A343C"/>
    <w:rsid w:val="008A3899"/>
    <w:rsid w:val="008A411B"/>
    <w:rsid w:val="008A5387"/>
    <w:rsid w:val="008B38D1"/>
    <w:rsid w:val="008B6A69"/>
    <w:rsid w:val="008B6B69"/>
    <w:rsid w:val="008C4681"/>
    <w:rsid w:val="008C6557"/>
    <w:rsid w:val="008D0202"/>
    <w:rsid w:val="008D270F"/>
    <w:rsid w:val="008D5D22"/>
    <w:rsid w:val="008D653B"/>
    <w:rsid w:val="008D67AF"/>
    <w:rsid w:val="008D77C8"/>
    <w:rsid w:val="008E272A"/>
    <w:rsid w:val="008E46AD"/>
    <w:rsid w:val="008E652E"/>
    <w:rsid w:val="008F4BAE"/>
    <w:rsid w:val="008F6B21"/>
    <w:rsid w:val="008F6E87"/>
    <w:rsid w:val="009009E5"/>
    <w:rsid w:val="0090302B"/>
    <w:rsid w:val="0090383A"/>
    <w:rsid w:val="009046E6"/>
    <w:rsid w:val="00904C29"/>
    <w:rsid w:val="0090541F"/>
    <w:rsid w:val="00912EDF"/>
    <w:rsid w:val="009154E3"/>
    <w:rsid w:val="00915821"/>
    <w:rsid w:val="00915972"/>
    <w:rsid w:val="00916D46"/>
    <w:rsid w:val="00920759"/>
    <w:rsid w:val="009224DC"/>
    <w:rsid w:val="00931572"/>
    <w:rsid w:val="009318FB"/>
    <w:rsid w:val="00932AB9"/>
    <w:rsid w:val="009369EE"/>
    <w:rsid w:val="009375B5"/>
    <w:rsid w:val="009424B6"/>
    <w:rsid w:val="00947261"/>
    <w:rsid w:val="00953626"/>
    <w:rsid w:val="0095402B"/>
    <w:rsid w:val="009540F5"/>
    <w:rsid w:val="00955338"/>
    <w:rsid w:val="00955553"/>
    <w:rsid w:val="0095619E"/>
    <w:rsid w:val="00961AF5"/>
    <w:rsid w:val="0096294E"/>
    <w:rsid w:val="00963B43"/>
    <w:rsid w:val="0096519E"/>
    <w:rsid w:val="0096715A"/>
    <w:rsid w:val="00967168"/>
    <w:rsid w:val="0097245E"/>
    <w:rsid w:val="00977222"/>
    <w:rsid w:val="00980D57"/>
    <w:rsid w:val="009874B2"/>
    <w:rsid w:val="009901C1"/>
    <w:rsid w:val="00993CFE"/>
    <w:rsid w:val="009A2F84"/>
    <w:rsid w:val="009A401B"/>
    <w:rsid w:val="009A6693"/>
    <w:rsid w:val="009B3D19"/>
    <w:rsid w:val="009B4655"/>
    <w:rsid w:val="009B679C"/>
    <w:rsid w:val="009B6D68"/>
    <w:rsid w:val="009B7C27"/>
    <w:rsid w:val="009C20A4"/>
    <w:rsid w:val="009C5A98"/>
    <w:rsid w:val="009C756F"/>
    <w:rsid w:val="009D2E47"/>
    <w:rsid w:val="009D6D29"/>
    <w:rsid w:val="009E0707"/>
    <w:rsid w:val="009E19FE"/>
    <w:rsid w:val="009E35C6"/>
    <w:rsid w:val="009E53C9"/>
    <w:rsid w:val="009E604A"/>
    <w:rsid w:val="009E61F9"/>
    <w:rsid w:val="009F0BBC"/>
    <w:rsid w:val="009F0E35"/>
    <w:rsid w:val="009F295B"/>
    <w:rsid w:val="009F2A4A"/>
    <w:rsid w:val="00A00B2C"/>
    <w:rsid w:val="00A0152C"/>
    <w:rsid w:val="00A0443D"/>
    <w:rsid w:val="00A14228"/>
    <w:rsid w:val="00A173B7"/>
    <w:rsid w:val="00A227A0"/>
    <w:rsid w:val="00A2493F"/>
    <w:rsid w:val="00A25BA1"/>
    <w:rsid w:val="00A33FC2"/>
    <w:rsid w:val="00A375ED"/>
    <w:rsid w:val="00A376E2"/>
    <w:rsid w:val="00A41809"/>
    <w:rsid w:val="00A43B5E"/>
    <w:rsid w:val="00A4418E"/>
    <w:rsid w:val="00A4601A"/>
    <w:rsid w:val="00A4788E"/>
    <w:rsid w:val="00A51084"/>
    <w:rsid w:val="00A535A2"/>
    <w:rsid w:val="00A559A0"/>
    <w:rsid w:val="00A63A91"/>
    <w:rsid w:val="00A641C9"/>
    <w:rsid w:val="00A662D1"/>
    <w:rsid w:val="00A70DE8"/>
    <w:rsid w:val="00A70FB9"/>
    <w:rsid w:val="00A737CC"/>
    <w:rsid w:val="00A738BA"/>
    <w:rsid w:val="00A84980"/>
    <w:rsid w:val="00A91817"/>
    <w:rsid w:val="00A94914"/>
    <w:rsid w:val="00A95AE0"/>
    <w:rsid w:val="00A9629B"/>
    <w:rsid w:val="00AA49D8"/>
    <w:rsid w:val="00AB0DBF"/>
    <w:rsid w:val="00AC483F"/>
    <w:rsid w:val="00AD52F9"/>
    <w:rsid w:val="00AD59EA"/>
    <w:rsid w:val="00AD5D26"/>
    <w:rsid w:val="00AE0963"/>
    <w:rsid w:val="00AE0B0A"/>
    <w:rsid w:val="00AE32CA"/>
    <w:rsid w:val="00AE4910"/>
    <w:rsid w:val="00AE637B"/>
    <w:rsid w:val="00AE7C40"/>
    <w:rsid w:val="00AF0D7E"/>
    <w:rsid w:val="00AF35CE"/>
    <w:rsid w:val="00AF4C77"/>
    <w:rsid w:val="00AF4ED0"/>
    <w:rsid w:val="00AF5D7F"/>
    <w:rsid w:val="00B049AB"/>
    <w:rsid w:val="00B058EE"/>
    <w:rsid w:val="00B1391F"/>
    <w:rsid w:val="00B1508B"/>
    <w:rsid w:val="00B15554"/>
    <w:rsid w:val="00B17749"/>
    <w:rsid w:val="00B202A5"/>
    <w:rsid w:val="00B215BA"/>
    <w:rsid w:val="00B25E1A"/>
    <w:rsid w:val="00B27FFB"/>
    <w:rsid w:val="00B300D7"/>
    <w:rsid w:val="00B43892"/>
    <w:rsid w:val="00B45077"/>
    <w:rsid w:val="00B4736F"/>
    <w:rsid w:val="00B504F6"/>
    <w:rsid w:val="00B52A75"/>
    <w:rsid w:val="00B5315B"/>
    <w:rsid w:val="00B55430"/>
    <w:rsid w:val="00B6076E"/>
    <w:rsid w:val="00B637E4"/>
    <w:rsid w:val="00B65F36"/>
    <w:rsid w:val="00B66DDA"/>
    <w:rsid w:val="00B674B9"/>
    <w:rsid w:val="00B77563"/>
    <w:rsid w:val="00B80488"/>
    <w:rsid w:val="00B805D7"/>
    <w:rsid w:val="00B80B9C"/>
    <w:rsid w:val="00B84BEE"/>
    <w:rsid w:val="00B86B79"/>
    <w:rsid w:val="00B86F0C"/>
    <w:rsid w:val="00B87F3E"/>
    <w:rsid w:val="00B97780"/>
    <w:rsid w:val="00BA0F73"/>
    <w:rsid w:val="00BA2DF9"/>
    <w:rsid w:val="00BA586E"/>
    <w:rsid w:val="00BA7265"/>
    <w:rsid w:val="00BA7B70"/>
    <w:rsid w:val="00BB1828"/>
    <w:rsid w:val="00BB21CA"/>
    <w:rsid w:val="00BC0998"/>
    <w:rsid w:val="00BC6835"/>
    <w:rsid w:val="00BC7BCF"/>
    <w:rsid w:val="00BD028F"/>
    <w:rsid w:val="00BD4127"/>
    <w:rsid w:val="00BD7498"/>
    <w:rsid w:val="00BF197F"/>
    <w:rsid w:val="00BF4897"/>
    <w:rsid w:val="00BF509F"/>
    <w:rsid w:val="00C02D58"/>
    <w:rsid w:val="00C04F73"/>
    <w:rsid w:val="00C07658"/>
    <w:rsid w:val="00C102B0"/>
    <w:rsid w:val="00C104A4"/>
    <w:rsid w:val="00C16DBC"/>
    <w:rsid w:val="00C17EEA"/>
    <w:rsid w:val="00C21FDD"/>
    <w:rsid w:val="00C4022C"/>
    <w:rsid w:val="00C4067E"/>
    <w:rsid w:val="00C41E7C"/>
    <w:rsid w:val="00C44032"/>
    <w:rsid w:val="00C44D73"/>
    <w:rsid w:val="00C52308"/>
    <w:rsid w:val="00C52FE8"/>
    <w:rsid w:val="00C625A4"/>
    <w:rsid w:val="00C710A0"/>
    <w:rsid w:val="00C7196E"/>
    <w:rsid w:val="00C80720"/>
    <w:rsid w:val="00C81FFD"/>
    <w:rsid w:val="00C85044"/>
    <w:rsid w:val="00C931CB"/>
    <w:rsid w:val="00C93440"/>
    <w:rsid w:val="00C9424D"/>
    <w:rsid w:val="00CA06A0"/>
    <w:rsid w:val="00CA08F2"/>
    <w:rsid w:val="00CA1E99"/>
    <w:rsid w:val="00CA59FD"/>
    <w:rsid w:val="00CB0BAF"/>
    <w:rsid w:val="00CB2D93"/>
    <w:rsid w:val="00CC0D59"/>
    <w:rsid w:val="00CC284A"/>
    <w:rsid w:val="00CC528B"/>
    <w:rsid w:val="00CC6F5A"/>
    <w:rsid w:val="00CD4319"/>
    <w:rsid w:val="00CD75A2"/>
    <w:rsid w:val="00CE0B9D"/>
    <w:rsid w:val="00CE3CEE"/>
    <w:rsid w:val="00CE4217"/>
    <w:rsid w:val="00CE427D"/>
    <w:rsid w:val="00CF0AF6"/>
    <w:rsid w:val="00CF2F1E"/>
    <w:rsid w:val="00CF304B"/>
    <w:rsid w:val="00CF6E05"/>
    <w:rsid w:val="00CF79A7"/>
    <w:rsid w:val="00D00BE4"/>
    <w:rsid w:val="00D01430"/>
    <w:rsid w:val="00D03885"/>
    <w:rsid w:val="00D16F87"/>
    <w:rsid w:val="00D1719E"/>
    <w:rsid w:val="00D17815"/>
    <w:rsid w:val="00D21304"/>
    <w:rsid w:val="00D22B2C"/>
    <w:rsid w:val="00D24267"/>
    <w:rsid w:val="00D32006"/>
    <w:rsid w:val="00D34371"/>
    <w:rsid w:val="00D4124D"/>
    <w:rsid w:val="00D45A37"/>
    <w:rsid w:val="00D47D8D"/>
    <w:rsid w:val="00D514DA"/>
    <w:rsid w:val="00D518F0"/>
    <w:rsid w:val="00D51EC1"/>
    <w:rsid w:val="00D5225E"/>
    <w:rsid w:val="00D534DB"/>
    <w:rsid w:val="00D54897"/>
    <w:rsid w:val="00D55543"/>
    <w:rsid w:val="00D55A40"/>
    <w:rsid w:val="00D66380"/>
    <w:rsid w:val="00D70717"/>
    <w:rsid w:val="00D7113C"/>
    <w:rsid w:val="00D7141A"/>
    <w:rsid w:val="00D72525"/>
    <w:rsid w:val="00D7521F"/>
    <w:rsid w:val="00D82795"/>
    <w:rsid w:val="00D82A01"/>
    <w:rsid w:val="00D86CB9"/>
    <w:rsid w:val="00D90E97"/>
    <w:rsid w:val="00D9474E"/>
    <w:rsid w:val="00D96B91"/>
    <w:rsid w:val="00DA19B4"/>
    <w:rsid w:val="00DA3C64"/>
    <w:rsid w:val="00DA3E2B"/>
    <w:rsid w:val="00DA3E43"/>
    <w:rsid w:val="00DB08F3"/>
    <w:rsid w:val="00DC38E7"/>
    <w:rsid w:val="00DC5CD5"/>
    <w:rsid w:val="00DC6798"/>
    <w:rsid w:val="00DD2985"/>
    <w:rsid w:val="00DE05E9"/>
    <w:rsid w:val="00DE3BA1"/>
    <w:rsid w:val="00DE532F"/>
    <w:rsid w:val="00DF02AB"/>
    <w:rsid w:val="00DF5A2C"/>
    <w:rsid w:val="00DF68D3"/>
    <w:rsid w:val="00DF6B59"/>
    <w:rsid w:val="00DF6BDC"/>
    <w:rsid w:val="00E033F2"/>
    <w:rsid w:val="00E109CF"/>
    <w:rsid w:val="00E14FE5"/>
    <w:rsid w:val="00E239AE"/>
    <w:rsid w:val="00E24EEB"/>
    <w:rsid w:val="00E30780"/>
    <w:rsid w:val="00E37A05"/>
    <w:rsid w:val="00E40C2B"/>
    <w:rsid w:val="00E42188"/>
    <w:rsid w:val="00E42C59"/>
    <w:rsid w:val="00E431EC"/>
    <w:rsid w:val="00E4470A"/>
    <w:rsid w:val="00E44E17"/>
    <w:rsid w:val="00E46ACB"/>
    <w:rsid w:val="00E502EB"/>
    <w:rsid w:val="00E5060B"/>
    <w:rsid w:val="00E51CBC"/>
    <w:rsid w:val="00E52CE6"/>
    <w:rsid w:val="00E531EC"/>
    <w:rsid w:val="00E543C4"/>
    <w:rsid w:val="00E5501A"/>
    <w:rsid w:val="00E55C54"/>
    <w:rsid w:val="00E62036"/>
    <w:rsid w:val="00E64A63"/>
    <w:rsid w:val="00E64B8C"/>
    <w:rsid w:val="00E72DDB"/>
    <w:rsid w:val="00E734CD"/>
    <w:rsid w:val="00E7526D"/>
    <w:rsid w:val="00E77900"/>
    <w:rsid w:val="00E81C92"/>
    <w:rsid w:val="00E81CC4"/>
    <w:rsid w:val="00E8351F"/>
    <w:rsid w:val="00E85157"/>
    <w:rsid w:val="00E87D5E"/>
    <w:rsid w:val="00E9312B"/>
    <w:rsid w:val="00E9358E"/>
    <w:rsid w:val="00EA2AD6"/>
    <w:rsid w:val="00EA41E0"/>
    <w:rsid w:val="00EA4EDC"/>
    <w:rsid w:val="00EB1C1E"/>
    <w:rsid w:val="00EB3F44"/>
    <w:rsid w:val="00EB6A86"/>
    <w:rsid w:val="00EB70AD"/>
    <w:rsid w:val="00EC0029"/>
    <w:rsid w:val="00EC26DE"/>
    <w:rsid w:val="00EC28FF"/>
    <w:rsid w:val="00EC3AB9"/>
    <w:rsid w:val="00EC67E7"/>
    <w:rsid w:val="00ED08F8"/>
    <w:rsid w:val="00EE17BF"/>
    <w:rsid w:val="00EE20EA"/>
    <w:rsid w:val="00EE4372"/>
    <w:rsid w:val="00EE6218"/>
    <w:rsid w:val="00EF1A40"/>
    <w:rsid w:val="00EF46C0"/>
    <w:rsid w:val="00EF5B08"/>
    <w:rsid w:val="00EF5E4C"/>
    <w:rsid w:val="00F01475"/>
    <w:rsid w:val="00F061C9"/>
    <w:rsid w:val="00F07965"/>
    <w:rsid w:val="00F10433"/>
    <w:rsid w:val="00F1632B"/>
    <w:rsid w:val="00F243DE"/>
    <w:rsid w:val="00F248AB"/>
    <w:rsid w:val="00F24A1D"/>
    <w:rsid w:val="00F26BF4"/>
    <w:rsid w:val="00F26CB2"/>
    <w:rsid w:val="00F27F6B"/>
    <w:rsid w:val="00F34A18"/>
    <w:rsid w:val="00F408BA"/>
    <w:rsid w:val="00F4261B"/>
    <w:rsid w:val="00F4360D"/>
    <w:rsid w:val="00F50F1C"/>
    <w:rsid w:val="00F51FA9"/>
    <w:rsid w:val="00F531B4"/>
    <w:rsid w:val="00F547D1"/>
    <w:rsid w:val="00F55971"/>
    <w:rsid w:val="00F561F0"/>
    <w:rsid w:val="00F62A88"/>
    <w:rsid w:val="00F666F6"/>
    <w:rsid w:val="00F668C9"/>
    <w:rsid w:val="00F67255"/>
    <w:rsid w:val="00F71E9E"/>
    <w:rsid w:val="00F7687E"/>
    <w:rsid w:val="00F7714D"/>
    <w:rsid w:val="00F82C55"/>
    <w:rsid w:val="00F86255"/>
    <w:rsid w:val="00F86949"/>
    <w:rsid w:val="00F87FB7"/>
    <w:rsid w:val="00F910FD"/>
    <w:rsid w:val="00F94FE6"/>
    <w:rsid w:val="00F9507B"/>
    <w:rsid w:val="00FA3727"/>
    <w:rsid w:val="00FA7E6F"/>
    <w:rsid w:val="00FB0CCA"/>
    <w:rsid w:val="00FB168E"/>
    <w:rsid w:val="00FB5365"/>
    <w:rsid w:val="00FB574C"/>
    <w:rsid w:val="00FB5FB6"/>
    <w:rsid w:val="00FB688E"/>
    <w:rsid w:val="00FC052A"/>
    <w:rsid w:val="00FC4E5C"/>
    <w:rsid w:val="00FC604B"/>
    <w:rsid w:val="00FC6241"/>
    <w:rsid w:val="00FD09AE"/>
    <w:rsid w:val="00FD0C2D"/>
    <w:rsid w:val="00FE4487"/>
    <w:rsid w:val="00FE51D4"/>
    <w:rsid w:val="00FE6098"/>
    <w:rsid w:val="00FF22CE"/>
    <w:rsid w:val="00FF2346"/>
    <w:rsid w:val="00FF2D8D"/>
    <w:rsid w:val="0197485B"/>
    <w:rsid w:val="06C782B9"/>
    <w:rsid w:val="082246FC"/>
    <w:rsid w:val="0E55555B"/>
    <w:rsid w:val="11A97569"/>
    <w:rsid w:val="11C28BCC"/>
    <w:rsid w:val="12DA73E0"/>
    <w:rsid w:val="1521AA5C"/>
    <w:rsid w:val="15CB318B"/>
    <w:rsid w:val="16E86DF3"/>
    <w:rsid w:val="20901E9F"/>
    <w:rsid w:val="261B16F8"/>
    <w:rsid w:val="2C77B947"/>
    <w:rsid w:val="32959675"/>
    <w:rsid w:val="339E6781"/>
    <w:rsid w:val="380BA7E2"/>
    <w:rsid w:val="3888A348"/>
    <w:rsid w:val="4138B622"/>
    <w:rsid w:val="4298F407"/>
    <w:rsid w:val="48FB4960"/>
    <w:rsid w:val="49F684E3"/>
    <w:rsid w:val="4A7263D4"/>
    <w:rsid w:val="4D2AA1F3"/>
    <w:rsid w:val="4D332D27"/>
    <w:rsid w:val="56BA6882"/>
    <w:rsid w:val="5A7AACB4"/>
    <w:rsid w:val="5D9A9362"/>
    <w:rsid w:val="64982A51"/>
    <w:rsid w:val="64D33F99"/>
    <w:rsid w:val="7B0AB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6609"/>
    <o:shapelayout v:ext="edit">
      <o:idmap v:ext="edit" data="1"/>
    </o:shapelayout>
  </w:shapeDefaults>
  <w:decimalSymbol w:val=","/>
  <w:listSeparator w:val=";"/>
  <w14:docId w14:val="13D83234"/>
  <w15:docId w15:val="{14921B9F-BA9B-4D3C-961B-58AC8938F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70E74"/>
    <w:pPr>
      <w:spacing w:line="260" w:lineRule="atLeast"/>
    </w:pPr>
    <w:rPr>
      <w:rFonts w:ascii="Arial" w:hAnsi="Arial" w:cs="Arial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070E74"/>
    <w:pPr>
      <w:keepNext/>
      <w:pBdr>
        <w:left w:val="single" w:sz="24" w:space="14" w:color="CC0033"/>
      </w:pBdr>
      <w:spacing w:line="456" w:lineRule="atLeast"/>
      <w:outlineLvl w:val="0"/>
    </w:pPr>
    <w:rPr>
      <w:rFonts w:eastAsia="Times New Roman" w:cs="Times New Roman"/>
      <w:caps/>
      <w:color w:val="CC0033"/>
      <w:kern w:val="32"/>
      <w:sz w:val="38"/>
      <w:szCs w:val="38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716C0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070E74"/>
    <w:rPr>
      <w:rFonts w:ascii="Arial" w:eastAsia="Times New Roman" w:hAnsi="Arial" w:cs="Arial"/>
      <w:caps/>
      <w:color w:val="CC0033"/>
      <w:kern w:val="32"/>
      <w:sz w:val="38"/>
      <w:szCs w:val="38"/>
    </w:rPr>
  </w:style>
  <w:style w:type="paragraph" w:styleId="Zhlav">
    <w:name w:val="header"/>
    <w:basedOn w:val="Normln"/>
    <w:link w:val="ZhlavChar"/>
    <w:uiPriority w:val="99"/>
    <w:rsid w:val="00070E74"/>
    <w:pPr>
      <w:tabs>
        <w:tab w:val="center" w:pos="4536"/>
        <w:tab w:val="right" w:pos="9072"/>
      </w:tabs>
      <w:spacing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ZhlavChar">
    <w:name w:val="Záhlaví Char"/>
    <w:link w:val="Zhlav"/>
    <w:uiPriority w:val="99"/>
    <w:rsid w:val="00070E74"/>
    <w:rPr>
      <w:rFonts w:ascii="Arial" w:eastAsia="Calibri" w:hAnsi="Arial" w:cs="Arial"/>
    </w:rPr>
  </w:style>
  <w:style w:type="paragraph" w:styleId="Zpat">
    <w:name w:val="footer"/>
    <w:basedOn w:val="Normln"/>
    <w:link w:val="ZpatChar"/>
    <w:uiPriority w:val="99"/>
    <w:rsid w:val="00070E74"/>
    <w:pPr>
      <w:tabs>
        <w:tab w:val="center" w:pos="4536"/>
        <w:tab w:val="right" w:pos="8959"/>
      </w:tabs>
      <w:spacing w:line="240" w:lineRule="auto"/>
    </w:pPr>
    <w:rPr>
      <w:rFonts w:cs="Times New Roman"/>
      <w:sz w:val="18"/>
      <w:szCs w:val="18"/>
      <w:lang w:val="x-none" w:eastAsia="x-none"/>
    </w:rPr>
  </w:style>
  <w:style w:type="character" w:customStyle="1" w:styleId="ZpatChar">
    <w:name w:val="Zápatí Char"/>
    <w:link w:val="Zpat"/>
    <w:uiPriority w:val="99"/>
    <w:rsid w:val="00070E74"/>
    <w:rPr>
      <w:rFonts w:ascii="Arial" w:eastAsia="Calibri" w:hAnsi="Arial" w:cs="Arial"/>
      <w:sz w:val="18"/>
      <w:szCs w:val="18"/>
    </w:rPr>
  </w:style>
  <w:style w:type="paragraph" w:customStyle="1" w:styleId="Zapati2">
    <w:name w:val="Zapati_2"/>
    <w:basedOn w:val="Zpat"/>
    <w:uiPriority w:val="99"/>
    <w:rsid w:val="00070E74"/>
    <w:pPr>
      <w:spacing w:line="144" w:lineRule="atLeast"/>
    </w:pPr>
    <w:rPr>
      <w:sz w:val="12"/>
      <w:szCs w:val="12"/>
    </w:rPr>
  </w:style>
  <w:style w:type="character" w:styleId="Hypertextovodkaz">
    <w:name w:val="Hyperlink"/>
    <w:uiPriority w:val="99"/>
    <w:rsid w:val="00070E74"/>
    <w:rPr>
      <w:rFonts w:cs="Times New Roman"/>
      <w:color w:val="0000FF"/>
      <w:u w:val="single"/>
    </w:rPr>
  </w:style>
  <w:style w:type="paragraph" w:styleId="Zkladntext2">
    <w:name w:val="Body Text 2"/>
    <w:basedOn w:val="Normln"/>
    <w:link w:val="Zkladntext2Char"/>
    <w:uiPriority w:val="99"/>
    <w:rsid w:val="00070E74"/>
    <w:pPr>
      <w:tabs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</w:tabs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 w:eastAsia="x-none"/>
    </w:rPr>
  </w:style>
  <w:style w:type="character" w:customStyle="1" w:styleId="Zkladntext2Char">
    <w:name w:val="Základní text 2 Char"/>
    <w:link w:val="Zkladntext2"/>
    <w:uiPriority w:val="99"/>
    <w:rsid w:val="00070E74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Siln">
    <w:name w:val="Strong"/>
    <w:uiPriority w:val="22"/>
    <w:qFormat/>
    <w:rsid w:val="00070E74"/>
    <w:rPr>
      <w:rFonts w:cs="Times New Roman"/>
      <w:b/>
      <w:bCs/>
    </w:rPr>
  </w:style>
  <w:style w:type="paragraph" w:customStyle="1" w:styleId="perex">
    <w:name w:val="perex"/>
    <w:basedOn w:val="Normln"/>
    <w:rsid w:val="00070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0202"/>
    <w:pPr>
      <w:spacing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8D0202"/>
    <w:rPr>
      <w:rFonts w:ascii="Tahoma" w:eastAsia="Calibri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965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96519E"/>
  </w:style>
  <w:style w:type="paragraph" w:styleId="Odstavecseseznamem">
    <w:name w:val="List Paragraph"/>
    <w:basedOn w:val="Normln"/>
    <w:uiPriority w:val="34"/>
    <w:qFormat/>
    <w:rsid w:val="0080387D"/>
    <w:pPr>
      <w:spacing w:line="240" w:lineRule="auto"/>
      <w:ind w:left="720"/>
    </w:pPr>
    <w:rPr>
      <w:rFonts w:ascii="Calibri" w:hAnsi="Calibri" w:cs="Times New Roman"/>
      <w:lang w:eastAsia="cs-CZ"/>
    </w:rPr>
  </w:style>
  <w:style w:type="character" w:styleId="Odkaznakoment">
    <w:name w:val="annotation reference"/>
    <w:uiPriority w:val="99"/>
    <w:semiHidden/>
    <w:unhideWhenUsed/>
    <w:rsid w:val="00B87F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87F3E"/>
    <w:p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eastAsia="Times New Roman" w:cs="Times New Roman"/>
      <w:sz w:val="20"/>
      <w:szCs w:val="20"/>
      <w:lang w:val="x-none" w:eastAsia="cs-CZ"/>
    </w:rPr>
  </w:style>
  <w:style w:type="character" w:customStyle="1" w:styleId="TextkomenteChar">
    <w:name w:val="Text komentáře Char"/>
    <w:link w:val="Textkomente"/>
    <w:uiPriority w:val="99"/>
    <w:rsid w:val="00B87F3E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vraznn1">
    <w:name w:val="Zvýraznění1"/>
    <w:uiPriority w:val="20"/>
    <w:qFormat/>
    <w:rsid w:val="00E7526D"/>
    <w:rPr>
      <w:i/>
      <w:iCs/>
    </w:rPr>
  </w:style>
  <w:style w:type="paragraph" w:customStyle="1" w:styleId="retrait1">
    <w:name w:val="retrait1"/>
    <w:basedOn w:val="Normln"/>
    <w:uiPriority w:val="99"/>
    <w:rsid w:val="00657D19"/>
    <w:pPr>
      <w:numPr>
        <w:numId w:val="9"/>
      </w:numPr>
      <w:spacing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customStyle="1" w:styleId="Textedesaisie">
    <w:name w:val="Texte de saisie"/>
    <w:basedOn w:val="Normln"/>
    <w:uiPriority w:val="99"/>
    <w:rsid w:val="00657D19"/>
    <w:pPr>
      <w:spacing w:line="240" w:lineRule="atLeast"/>
      <w:jc w:val="both"/>
    </w:pPr>
    <w:rPr>
      <w:rFonts w:eastAsia="Times New Roman" w:cs="Times New Roman"/>
      <w:sz w:val="20"/>
      <w:szCs w:val="20"/>
      <w:lang w:val="fr-FR" w:eastAsia="fr-FR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62036"/>
    <w:pPr>
      <w:overflowPunct/>
      <w:autoSpaceDE/>
      <w:autoSpaceDN/>
      <w:adjustRightInd/>
      <w:spacing w:line="260" w:lineRule="atLeast"/>
      <w:jc w:val="left"/>
      <w:textAlignment w:val="auto"/>
    </w:pPr>
    <w:rPr>
      <w:b/>
      <w:bCs/>
      <w:lang w:val="cs-CZ"/>
    </w:rPr>
  </w:style>
  <w:style w:type="character" w:customStyle="1" w:styleId="PedmtkomenteChar">
    <w:name w:val="Předmět komentáře Char"/>
    <w:link w:val="Pedmtkomente"/>
    <w:uiPriority w:val="99"/>
    <w:semiHidden/>
    <w:rsid w:val="00E62036"/>
    <w:rPr>
      <w:rFonts w:ascii="Arial" w:eastAsia="Times New Roman" w:hAnsi="Arial" w:cs="Arial"/>
      <w:b/>
      <w:bCs/>
      <w:sz w:val="20"/>
      <w:szCs w:val="20"/>
      <w:lang w:val="cs-CZ" w:eastAsia="cs-CZ"/>
    </w:rPr>
  </w:style>
  <w:style w:type="character" w:customStyle="1" w:styleId="Nadpis2Char">
    <w:name w:val="Nadpis 2 Char"/>
    <w:link w:val="Nadpis2"/>
    <w:uiPriority w:val="9"/>
    <w:rsid w:val="001716C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Nzev">
    <w:name w:val="Title"/>
    <w:next w:val="Normln"/>
    <w:link w:val="NzevChar"/>
    <w:rsid w:val="00DD2985"/>
    <w:pPr>
      <w:keepNext/>
      <w:pBdr>
        <w:top w:val="nil"/>
        <w:left w:val="nil"/>
        <w:bottom w:val="nil"/>
        <w:right w:val="nil"/>
        <w:between w:val="nil"/>
        <w:bar w:val="nil"/>
      </w:pBdr>
      <w:spacing w:before="200" w:after="200"/>
      <w:outlineLvl w:val="1"/>
    </w:pPr>
    <w:rPr>
      <w:rFonts w:ascii="Helvetica" w:eastAsia="Arial Unicode MS" w:hAnsi="Arial Unicode MS" w:cs="Arial Unicode MS"/>
      <w:b/>
      <w:bCs/>
      <w:color w:val="434343"/>
      <w:sz w:val="36"/>
      <w:szCs w:val="36"/>
      <w:bdr w:val="nil"/>
    </w:rPr>
  </w:style>
  <w:style w:type="character" w:customStyle="1" w:styleId="NzevChar">
    <w:name w:val="Název Char"/>
    <w:link w:val="Nzev"/>
    <w:rsid w:val="00DD2985"/>
    <w:rPr>
      <w:rFonts w:ascii="Helvetica" w:eastAsia="Arial Unicode MS" w:hAnsi="Arial Unicode MS" w:cs="Arial Unicode MS"/>
      <w:b/>
      <w:bCs/>
      <w:color w:val="434343"/>
      <w:sz w:val="36"/>
      <w:szCs w:val="36"/>
      <w:bdr w:val="nil"/>
    </w:rPr>
  </w:style>
  <w:style w:type="paragraph" w:customStyle="1" w:styleId="Text">
    <w:name w:val="Text"/>
    <w:rsid w:val="00DD2985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" w:eastAsia="Helvetica" w:hAnsi="Helvetica" w:cs="Helvetica"/>
      <w:color w:val="000000"/>
      <w:sz w:val="24"/>
      <w:szCs w:val="24"/>
      <w:bdr w:val="nil"/>
    </w:rPr>
  </w:style>
  <w:style w:type="paragraph" w:styleId="Revize">
    <w:name w:val="Revision"/>
    <w:hidden/>
    <w:uiPriority w:val="99"/>
    <w:semiHidden/>
    <w:rsid w:val="00115391"/>
    <w:rPr>
      <w:rFonts w:ascii="Arial" w:hAnsi="Arial" w:cs="Arial"/>
      <w:sz w:val="22"/>
      <w:szCs w:val="22"/>
      <w:lang w:eastAsia="en-US"/>
    </w:rPr>
  </w:style>
  <w:style w:type="paragraph" w:customStyle="1" w:styleId="Default">
    <w:name w:val="Default"/>
    <w:rsid w:val="00E51CB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ssfpaarticletext">
    <w:name w:val="ssfpaarticletext"/>
    <w:basedOn w:val="Standardnpsmoodstavce"/>
    <w:rsid w:val="00435153"/>
  </w:style>
  <w:style w:type="paragraph" w:customStyle="1" w:styleId="SourceLarge">
    <w:name w:val="SourceLarge"/>
    <w:next w:val="Normln"/>
    <w:link w:val="SourceLargeChar"/>
    <w:uiPriority w:val="99"/>
    <w:rsid w:val="002A4A29"/>
    <w:pPr>
      <w:suppressAutoHyphens/>
      <w:spacing w:after="360" w:line="160" w:lineRule="atLeast"/>
    </w:pPr>
    <w:rPr>
      <w:rFonts w:ascii="Helvetica Neue CE Medium" w:hAnsi="Helvetica Neue CE Medium" w:cs="Helvetica Neue CE Medium"/>
      <w:sz w:val="11"/>
      <w:szCs w:val="11"/>
      <w:lang w:val="en-GB" w:eastAsia="en-US"/>
    </w:rPr>
  </w:style>
  <w:style w:type="character" w:customStyle="1" w:styleId="SourceLargeChar">
    <w:name w:val="SourceLarge Char"/>
    <w:basedOn w:val="Standardnpsmoodstavce"/>
    <w:link w:val="SourceLarge"/>
    <w:uiPriority w:val="99"/>
    <w:rsid w:val="002A4A29"/>
    <w:rPr>
      <w:rFonts w:ascii="Helvetica Neue CE Medium" w:hAnsi="Helvetica Neue CE Medium" w:cs="Helvetica Neue CE Medium"/>
      <w:sz w:val="11"/>
      <w:szCs w:val="11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4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2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1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06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311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683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670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1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15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95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622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319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2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70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19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583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258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29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8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8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55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59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7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1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63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11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801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395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0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an_vejmelek@kb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SG_colors">
      <a:dk1>
        <a:srgbClr val="000000"/>
      </a:dk1>
      <a:lt1>
        <a:srgbClr val="FFFFFF"/>
      </a:lt1>
      <a:dk2>
        <a:srgbClr val="FFFFFF"/>
      </a:dk2>
      <a:lt2>
        <a:srgbClr val="000000"/>
      </a:lt2>
      <a:accent1>
        <a:srgbClr val="C1BCBC"/>
      </a:accent1>
      <a:accent2>
        <a:srgbClr val="E60028"/>
      </a:accent2>
      <a:accent3>
        <a:srgbClr val="D6C292"/>
      </a:accent3>
      <a:accent4>
        <a:srgbClr val="7B1D21"/>
      </a:accent4>
      <a:accent5>
        <a:srgbClr val="B8D8DC"/>
      </a:accent5>
      <a:accent6>
        <a:srgbClr val="3C747B"/>
      </a:accent6>
      <a:hlink>
        <a:srgbClr val="635C5C"/>
      </a:hlink>
      <a:folHlink>
        <a:srgbClr val="938B8B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38F76C5A6A1C4D9A23B8B8F20D0159" ma:contentTypeVersion="2" ma:contentTypeDescription="Create a new document." ma:contentTypeScope="" ma:versionID="0c0326309d003804bffc7479764d3d79">
  <xsd:schema xmlns:xsd="http://www.w3.org/2001/XMLSchema" xmlns:xs="http://www.w3.org/2001/XMLSchema" xmlns:p="http://schemas.microsoft.com/office/2006/metadata/properties" xmlns:ns2="3235f14f-47a2-42bc-a3e7-cb82b0f04763" targetNamespace="http://schemas.microsoft.com/office/2006/metadata/properties" ma:root="true" ma:fieldsID="b3a7d58aa3bda3fb33f354d11ad062a0" ns2:_="">
    <xsd:import namespace="3235f14f-47a2-42bc-a3e7-cb82b0f047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35f14f-47a2-42bc-a3e7-cb82b0f047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6EC8D1-DE28-4BFE-9FC4-0CBCA39805D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DCC7E79-CC0E-4ECE-A8AA-811FC019EC55}">
  <ds:schemaRefs>
    <ds:schemaRef ds:uri="http://schemas.microsoft.com/office/2006/documentManagement/types"/>
    <ds:schemaRef ds:uri="http://schemas.microsoft.com/office/infopath/2007/PartnerControls"/>
    <ds:schemaRef ds:uri="3235f14f-47a2-42bc-a3e7-cb82b0f04763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BCECA13-BF00-4250-BECE-8B681EF8E2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C55338A-0002-4623-8D62-DD8AFF8A43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35f14f-47a2-42bc-a3e7-cb82b0f047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735</Words>
  <Characters>4342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Komerční banka, a.s.</Company>
  <LinksUpToDate>false</LinksUpToDate>
  <CharactersWithSpaces>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Michaela Sobotková</dc:creator>
  <cp:lastModifiedBy>Dokumenty Crestcom</cp:lastModifiedBy>
  <cp:revision>2</cp:revision>
  <cp:lastPrinted>2020-05-29T09:13:00Z</cp:lastPrinted>
  <dcterms:created xsi:type="dcterms:W3CDTF">2021-07-28T11:23:00Z</dcterms:created>
  <dcterms:modified xsi:type="dcterms:W3CDTF">2021-07-28T11:23:00Z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0x0101004238F76C5A6A1C4D9A23B8B8F20D0159</vt:lpwstr>
  </property>
  <property fmtid="{D5CDD505-2E9C-101B-9397-08002B2CF9AE}" pid="3" name="MSIP_Label_076d9757-80ae-4c87-b4d7-9ffa7a0710d0_Enabled">
    <vt:lpwstr>true</vt:lpwstr>
  </property>
  <property fmtid="{D5CDD505-2E9C-101B-9397-08002B2CF9AE}" pid="4" name="MSIP_Label_076d9757-80ae-4c87-b4d7-9ffa7a0710d0_SetDate">
    <vt:lpwstr>2021-07-28T06:46:18Z</vt:lpwstr>
  </property>
  <property fmtid="{D5CDD505-2E9C-101B-9397-08002B2CF9AE}" pid="5" name="MSIP_Label_076d9757-80ae-4c87-b4d7-9ffa7a0710d0_Method">
    <vt:lpwstr>Standard</vt:lpwstr>
  </property>
  <property fmtid="{D5CDD505-2E9C-101B-9397-08002B2CF9AE}" pid="6" name="MSIP_Label_076d9757-80ae-4c87-b4d7-9ffa7a0710d0_Name">
    <vt:lpwstr>C1 - Internal</vt:lpwstr>
  </property>
  <property fmtid="{D5CDD505-2E9C-101B-9397-08002B2CF9AE}" pid="7" name="MSIP_Label_076d9757-80ae-4c87-b4d7-9ffa7a0710d0_SiteId">
    <vt:lpwstr>c79e7c80-cff5-4503-b468-3702cea89272</vt:lpwstr>
  </property>
  <property fmtid="{D5CDD505-2E9C-101B-9397-08002B2CF9AE}" pid="8" name="MSIP_Label_076d9757-80ae-4c87-b4d7-9ffa7a0710d0_ActionId">
    <vt:lpwstr>9f92e10e-e094-4aa2-8da0-ee3b9aff1f9e</vt:lpwstr>
  </property>
  <property fmtid="{D5CDD505-2E9C-101B-9397-08002B2CF9AE}" pid="9" name="MSIP_Label_076d9757-80ae-4c87-b4d7-9ffa7a0710d0_ContentBits">
    <vt:lpwstr>0</vt:lpwstr>
  </property>
  <property fmtid="{D5CDD505-2E9C-101B-9397-08002B2CF9AE}" pid="10" name="Kod_Duvernosti">
    <vt:lpwstr>KB_C1_INTERNAL_992521</vt:lpwstr>
  </property>
</Properties>
</file>