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B8" w:rsidRDefault="00177EB8" w:rsidP="00AC35C4">
      <w:pPr>
        <w:pStyle w:val="F2-zkladn"/>
        <w:rPr>
          <w:b/>
          <w:sz w:val="28"/>
          <w:szCs w:val="28"/>
        </w:rPr>
      </w:pPr>
    </w:p>
    <w:p w:rsidR="00177EB8" w:rsidRPr="009C3DB4" w:rsidRDefault="00177EB8" w:rsidP="00E0115C">
      <w:pPr>
        <w:pStyle w:val="F2-zkladn"/>
        <w:outlineLvl w:val="0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>TISKOVÁ ZPRÁVA</w:t>
      </w:r>
    </w:p>
    <w:p w:rsidR="00177EB8" w:rsidRPr="009C3DB4" w:rsidRDefault="003A5842" w:rsidP="00AC35C4">
      <w:pPr>
        <w:pStyle w:val="F2-zkladn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3810" r="0" b="0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1F2B3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A057088gIAAEoGAAAOAAAAAAAAAAAAAAAAAC4CAABk&#10;cnMvZTJvRG9jLnhtbFBLAQItABQABgAIAAAAIQCi5eyl2AAAAAMBAAAPAAAAAAAAAAAAAAAAAEw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177EB8" w:rsidRDefault="003A5842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3810" r="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7C0A8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177EB8" w:rsidRPr="00B362ED">
        <w:tab/>
        <w:t xml:space="preserve">Praha, </w:t>
      </w:r>
      <w:r>
        <w:t>21</w:t>
      </w:r>
      <w:r w:rsidR="00177EB8">
        <w:t>. listopadu 2018</w:t>
      </w:r>
    </w:p>
    <w:p w:rsidR="00122FBE" w:rsidRPr="00B362ED" w:rsidRDefault="00122FBE" w:rsidP="00AC35C4">
      <w:pPr>
        <w:pStyle w:val="F2-zkladn"/>
        <w:tabs>
          <w:tab w:val="right" w:pos="9070"/>
        </w:tabs>
      </w:pPr>
      <w:bookmarkStart w:id="0" w:name="_GoBack"/>
      <w:bookmarkEnd w:id="0"/>
    </w:p>
    <w:p w:rsidR="003A5842" w:rsidRDefault="003A5842" w:rsidP="00122FBE">
      <w:pPr>
        <w:pStyle w:val="FormtovanvHTML"/>
        <w:shd w:val="clear" w:color="auto" w:fill="FFFFFF"/>
        <w:spacing w:before="0" w:line="360" w:lineRule="auto"/>
        <w:rPr>
          <w:rFonts w:ascii="Arial" w:hAnsi="Arial" w:cs="Arial"/>
          <w:b/>
          <w:sz w:val="28"/>
          <w:szCs w:val="28"/>
        </w:rPr>
      </w:pPr>
      <w:proofErr w:type="spellStart"/>
      <w:r w:rsidRPr="003A5842">
        <w:rPr>
          <w:rFonts w:ascii="Arial" w:hAnsi="Arial" w:cs="Arial"/>
          <w:b/>
          <w:sz w:val="28"/>
          <w:szCs w:val="28"/>
        </w:rPr>
        <w:t>Fidelity</w:t>
      </w:r>
      <w:proofErr w:type="spellEnd"/>
      <w:r w:rsidRPr="003A5842">
        <w:rPr>
          <w:rFonts w:ascii="Arial" w:hAnsi="Arial" w:cs="Arial"/>
          <w:b/>
          <w:sz w:val="28"/>
          <w:szCs w:val="28"/>
        </w:rPr>
        <w:t xml:space="preserve"> International: Dluhopisy s investičním </w:t>
      </w:r>
      <w:proofErr w:type="spellStart"/>
      <w:r w:rsidRPr="003A5842">
        <w:rPr>
          <w:rFonts w:ascii="Arial" w:hAnsi="Arial" w:cs="Arial"/>
          <w:b/>
          <w:sz w:val="28"/>
          <w:szCs w:val="28"/>
        </w:rPr>
        <w:t>stupňem</w:t>
      </w:r>
      <w:proofErr w:type="spellEnd"/>
      <w:r w:rsidRPr="003A5842">
        <w:rPr>
          <w:rFonts w:ascii="Arial" w:hAnsi="Arial" w:cs="Arial"/>
          <w:b/>
          <w:sz w:val="28"/>
          <w:szCs w:val="28"/>
        </w:rPr>
        <w:t xml:space="preserve"> – odolné vůči oslabení akciových trhů</w:t>
      </w:r>
    </w:p>
    <w:p w:rsidR="00122FBE" w:rsidRDefault="00122FBE" w:rsidP="00122FBE">
      <w:pPr>
        <w:pStyle w:val="FormtovanvHTML"/>
        <w:shd w:val="clear" w:color="auto" w:fill="FFFFFF"/>
        <w:spacing w:before="0" w:line="360" w:lineRule="auto"/>
        <w:rPr>
          <w:rFonts w:ascii="Arial" w:hAnsi="Arial" w:cs="Arial"/>
          <w:b/>
          <w:sz w:val="28"/>
          <w:szCs w:val="28"/>
        </w:rPr>
      </w:pPr>
    </w:p>
    <w:p w:rsidR="003A5842" w:rsidRDefault="003A5842" w:rsidP="003A5842">
      <w:pPr>
        <w:pStyle w:val="MonthlyBodyText"/>
        <w:spacing w:before="0" w:line="360" w:lineRule="auto"/>
        <w:jc w:val="both"/>
      </w:pPr>
      <w:r>
        <w:rPr>
          <w:rFonts w:cs="Arial"/>
          <w:b/>
          <w:color w:val="auto"/>
          <w:sz w:val="21"/>
          <w:szCs w:val="21"/>
          <w:lang w:val="cs-CZ"/>
        </w:rPr>
        <w:t xml:space="preserve">Tržní volatilita v říjnu narostla a Andrea </w:t>
      </w:r>
      <w:proofErr w:type="spellStart"/>
      <w:r>
        <w:rPr>
          <w:rFonts w:cs="Arial"/>
          <w:b/>
          <w:color w:val="auto"/>
          <w:sz w:val="21"/>
          <w:szCs w:val="21"/>
          <w:lang w:val="cs-CZ"/>
        </w:rPr>
        <w:t>Iannelli</w:t>
      </w:r>
      <w:proofErr w:type="spellEnd"/>
      <w:r>
        <w:rPr>
          <w:rFonts w:cs="Arial"/>
          <w:b/>
          <w:color w:val="auto"/>
          <w:sz w:val="21"/>
          <w:szCs w:val="21"/>
          <w:lang w:val="cs-CZ"/>
        </w:rPr>
        <w:t xml:space="preserve">, ředitel investic </w:t>
      </w:r>
      <w:proofErr w:type="spellStart"/>
      <w:r>
        <w:rPr>
          <w:rFonts w:cs="Arial"/>
          <w:b/>
          <w:color w:val="auto"/>
          <w:sz w:val="21"/>
          <w:szCs w:val="21"/>
          <w:lang w:val="cs-CZ"/>
        </w:rPr>
        <w:t>Fidelity</w:t>
      </w:r>
      <w:proofErr w:type="spellEnd"/>
      <w:r>
        <w:rPr>
          <w:rFonts w:cs="Arial"/>
          <w:b/>
          <w:color w:val="auto"/>
          <w:sz w:val="21"/>
          <w:szCs w:val="21"/>
          <w:lang w:val="cs-CZ"/>
        </w:rPr>
        <w:t xml:space="preserve"> International, vidí jako příležitost dluhopisy s investičním stupněm, které odolávají oslabení akciových trhů. Zejména oceňuje ty asijské a velmi pozitivně vnímá Evropu. Zajímavé příležitosti vidí i v Británii s ohledem na potíže při projednávání </w:t>
      </w:r>
      <w:proofErr w:type="spellStart"/>
      <w:r>
        <w:rPr>
          <w:rFonts w:cs="Arial"/>
          <w:b/>
          <w:color w:val="auto"/>
          <w:sz w:val="21"/>
          <w:szCs w:val="21"/>
          <w:lang w:val="cs-CZ"/>
        </w:rPr>
        <w:t>Brexitu</w:t>
      </w:r>
      <w:proofErr w:type="spellEnd"/>
      <w:r>
        <w:rPr>
          <w:rFonts w:cs="Arial"/>
          <w:b/>
          <w:color w:val="auto"/>
          <w:sz w:val="21"/>
          <w:szCs w:val="21"/>
          <w:lang w:val="cs-CZ"/>
        </w:rPr>
        <w:t xml:space="preserve">. Dodává, že období výrazného akciového oslabení je sice zpravidla předpovídáno širšími </w:t>
      </w:r>
      <w:proofErr w:type="spellStart"/>
      <w:r>
        <w:rPr>
          <w:rFonts w:cs="Arial"/>
          <w:b/>
          <w:color w:val="auto"/>
          <w:sz w:val="21"/>
          <w:szCs w:val="21"/>
          <w:lang w:val="cs-CZ"/>
        </w:rPr>
        <w:t>spready</w:t>
      </w:r>
      <w:proofErr w:type="spellEnd"/>
      <w:r>
        <w:rPr>
          <w:rFonts w:cs="Arial"/>
          <w:b/>
          <w:color w:val="auto"/>
          <w:sz w:val="21"/>
          <w:szCs w:val="21"/>
          <w:lang w:val="cs-CZ"/>
        </w:rPr>
        <w:t>, ale to, zda jejich rozšiřování zaznamenané v roce 2018 bude předzvěstí něčeho zlověstnějšího, není zatím jasné.</w:t>
      </w:r>
    </w:p>
    <w:p w:rsidR="003A5842" w:rsidRDefault="003A5842" w:rsidP="003A5842">
      <w:pPr>
        <w:pStyle w:val="MonthlyBodyText"/>
        <w:spacing w:before="0" w:line="360" w:lineRule="auto"/>
        <w:jc w:val="both"/>
        <w:rPr>
          <w:rFonts w:cs="Arial"/>
          <w:color w:val="auto"/>
          <w:sz w:val="21"/>
          <w:szCs w:val="21"/>
          <w:lang w:val="cs-CZ"/>
        </w:rPr>
      </w:pPr>
    </w:p>
    <w:p w:rsidR="003A5842" w:rsidRPr="003A5842" w:rsidRDefault="003A5842" w:rsidP="003A5842">
      <w:pPr>
        <w:pStyle w:val="MonthlyBodyText"/>
        <w:spacing w:before="0" w:line="360" w:lineRule="auto"/>
        <w:jc w:val="both"/>
      </w:pPr>
      <w:r>
        <w:rPr>
          <w:rFonts w:cs="Arial"/>
          <w:color w:val="auto"/>
          <w:sz w:val="21"/>
          <w:szCs w:val="21"/>
          <w:lang w:val="cs-CZ"/>
        </w:rPr>
        <w:t>„</w:t>
      </w:r>
      <w:r>
        <w:rPr>
          <w:rFonts w:cs="Arial"/>
          <w:i/>
          <w:color w:val="auto"/>
          <w:sz w:val="21"/>
          <w:szCs w:val="21"/>
          <w:lang w:val="cs-CZ"/>
        </w:rPr>
        <w:t xml:space="preserve">Když se vyhodnocujeme vyhlídky, doporučujeme spíše neutrální až defenzivní přístup. Očekáváme tlak na rozšiřování </w:t>
      </w:r>
      <w:proofErr w:type="spellStart"/>
      <w:r>
        <w:rPr>
          <w:rFonts w:cs="Arial"/>
          <w:i/>
          <w:color w:val="auto"/>
          <w:sz w:val="21"/>
          <w:szCs w:val="21"/>
          <w:lang w:val="cs-CZ"/>
        </w:rPr>
        <w:t>spreadů</w:t>
      </w:r>
      <w:proofErr w:type="spellEnd"/>
      <w:r>
        <w:rPr>
          <w:rFonts w:cs="Arial"/>
          <w:i/>
          <w:color w:val="auto"/>
          <w:sz w:val="21"/>
          <w:szCs w:val="21"/>
          <w:lang w:val="cs-CZ"/>
        </w:rPr>
        <w:t xml:space="preserve"> s tím, jak celosvětový růst opadá a zadlužení firem zůstává vysoké,“</w:t>
      </w:r>
      <w:r>
        <w:rPr>
          <w:rFonts w:cs="Arial"/>
          <w:color w:val="auto"/>
          <w:sz w:val="21"/>
          <w:szCs w:val="21"/>
          <w:lang w:val="cs-CZ"/>
        </w:rPr>
        <w:t xml:space="preserve"> komentuje přístup </w:t>
      </w:r>
      <w:proofErr w:type="spellStart"/>
      <w:r>
        <w:rPr>
          <w:rFonts w:cs="Arial"/>
          <w:color w:val="auto"/>
          <w:sz w:val="21"/>
          <w:szCs w:val="21"/>
          <w:lang w:val="cs-CZ"/>
        </w:rPr>
        <w:t>Fidelity</w:t>
      </w:r>
      <w:proofErr w:type="spellEnd"/>
      <w:r>
        <w:rPr>
          <w:rFonts w:cs="Arial"/>
          <w:color w:val="auto"/>
          <w:sz w:val="21"/>
          <w:szCs w:val="21"/>
          <w:lang w:val="cs-CZ"/>
        </w:rPr>
        <w:t xml:space="preserve"> International k aktuální situaci na trzích ředitel investic Andrea </w:t>
      </w:r>
      <w:proofErr w:type="spellStart"/>
      <w:r>
        <w:rPr>
          <w:rFonts w:cs="Arial"/>
          <w:color w:val="auto"/>
          <w:sz w:val="21"/>
          <w:szCs w:val="21"/>
          <w:lang w:val="cs-CZ"/>
        </w:rPr>
        <w:t>Iannelli</w:t>
      </w:r>
      <w:proofErr w:type="spellEnd"/>
      <w:r>
        <w:rPr>
          <w:rFonts w:cs="Arial"/>
          <w:color w:val="auto"/>
          <w:sz w:val="21"/>
          <w:szCs w:val="21"/>
          <w:lang w:val="cs-CZ"/>
        </w:rPr>
        <w:t>.</w:t>
      </w:r>
    </w:p>
    <w:p w:rsidR="003A5842" w:rsidRDefault="003A5842" w:rsidP="003A5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b/>
          <w:sz w:val="21"/>
          <w:szCs w:val="21"/>
          <w:lang w:eastAsia="en-GB"/>
        </w:rPr>
      </w:pPr>
    </w:p>
    <w:p w:rsidR="003A5842" w:rsidRDefault="003A5842" w:rsidP="003A5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b/>
          <w:sz w:val="21"/>
          <w:szCs w:val="21"/>
          <w:lang w:eastAsia="en-GB"/>
        </w:rPr>
      </w:pPr>
      <w:r>
        <w:rPr>
          <w:b/>
          <w:sz w:val="21"/>
          <w:szCs w:val="21"/>
          <w:lang w:eastAsia="en-GB"/>
        </w:rPr>
        <w:t>Evropa</w:t>
      </w:r>
    </w:p>
    <w:p w:rsidR="003A5842" w:rsidRDefault="003A5842" w:rsidP="003A58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„</w:t>
      </w:r>
      <w:r>
        <w:rPr>
          <w:i/>
          <w:sz w:val="21"/>
          <w:szCs w:val="21"/>
          <w:lang w:eastAsia="en-GB"/>
        </w:rPr>
        <w:t xml:space="preserve">Trhem, který preferujeme, zůstává Evropa. Ocenění zlepšila do té míry, že nabízí přesvědčivou alternativu k americkým protějškům, a to jak zajištěnými výnosy, tak na základě poměru </w:t>
      </w:r>
      <w:proofErr w:type="spellStart"/>
      <w:r>
        <w:rPr>
          <w:i/>
          <w:sz w:val="21"/>
          <w:szCs w:val="21"/>
          <w:lang w:eastAsia="en-GB"/>
        </w:rPr>
        <w:t>spreadů</w:t>
      </w:r>
      <w:proofErr w:type="spellEnd"/>
      <w:r>
        <w:rPr>
          <w:i/>
          <w:sz w:val="21"/>
          <w:szCs w:val="21"/>
          <w:lang w:eastAsia="en-GB"/>
        </w:rPr>
        <w:t xml:space="preserve"> vzhledem k vládním výnosům. V souvislosti s ukončováním promítání nákupů Evropské centrální banky v cenách by výhled mírné politiky kombinovaný se stálým růstem mohl pomoci držet evropské úvěrové trhy v příštím roce pevně ukotvené. Jsme konstruktivní v případě kombinace různých trhů a věříme, že vyvážení rizik je nakloněno směrem k mírně rozšířeným </w:t>
      </w:r>
      <w:proofErr w:type="spellStart"/>
      <w:r>
        <w:rPr>
          <w:i/>
          <w:sz w:val="21"/>
          <w:szCs w:val="21"/>
          <w:lang w:eastAsia="en-GB"/>
        </w:rPr>
        <w:t>spreadům</w:t>
      </w:r>
      <w:proofErr w:type="spellEnd"/>
      <w:r>
        <w:rPr>
          <w:sz w:val="21"/>
          <w:szCs w:val="21"/>
          <w:lang w:eastAsia="en-GB"/>
        </w:rPr>
        <w:t xml:space="preserve">,“ hodnotí evropské trhy </w:t>
      </w:r>
      <w:r>
        <w:rPr>
          <w:sz w:val="21"/>
          <w:szCs w:val="21"/>
        </w:rPr>
        <w:t xml:space="preserve">Andrea </w:t>
      </w:r>
      <w:proofErr w:type="spellStart"/>
      <w:r>
        <w:rPr>
          <w:sz w:val="21"/>
          <w:szCs w:val="21"/>
        </w:rPr>
        <w:t>Iannelli</w:t>
      </w:r>
      <w:proofErr w:type="spellEnd"/>
      <w:r>
        <w:rPr>
          <w:sz w:val="21"/>
          <w:szCs w:val="21"/>
        </w:rPr>
        <w:t>.</w:t>
      </w:r>
      <w:r>
        <w:rPr>
          <w:sz w:val="21"/>
          <w:szCs w:val="21"/>
          <w:lang w:eastAsia="en-GB"/>
        </w:rPr>
        <w:t xml:space="preserve"> </w:t>
      </w:r>
    </w:p>
    <w:p w:rsidR="003A5842" w:rsidRPr="003A5842" w:rsidRDefault="003A5842" w:rsidP="003A5842">
      <w:pPr>
        <w:pStyle w:val="F2-zkladn"/>
        <w:spacing w:before="0" w:line="360" w:lineRule="auto"/>
        <w:rPr>
          <w:lang w:eastAsia="en-GB"/>
        </w:rPr>
      </w:pPr>
    </w:p>
    <w:p w:rsidR="003A5842" w:rsidRDefault="003A5842" w:rsidP="003A5842">
      <w:pPr>
        <w:pStyle w:val="MonthlyBodyText"/>
        <w:spacing w:before="0" w:line="360" w:lineRule="auto"/>
        <w:jc w:val="both"/>
        <w:rPr>
          <w:rFonts w:cs="Arial"/>
          <w:b/>
          <w:color w:val="auto"/>
          <w:sz w:val="21"/>
          <w:szCs w:val="21"/>
          <w:lang w:val="cs-CZ" w:eastAsia="zh-HK"/>
        </w:rPr>
      </w:pPr>
      <w:r>
        <w:rPr>
          <w:rFonts w:cs="Arial"/>
          <w:b/>
          <w:color w:val="auto"/>
          <w:sz w:val="21"/>
          <w:szCs w:val="21"/>
          <w:lang w:val="cs-CZ" w:eastAsia="zh-HK"/>
        </w:rPr>
        <w:t>Velká Británie</w:t>
      </w:r>
    </w:p>
    <w:p w:rsidR="003A5842" w:rsidRDefault="003A5842" w:rsidP="003A5842">
      <w:pPr>
        <w:pStyle w:val="MonthlyBodyText"/>
        <w:spacing w:before="0" w:line="360" w:lineRule="auto"/>
        <w:jc w:val="both"/>
      </w:pPr>
      <w:r>
        <w:rPr>
          <w:rFonts w:cs="Arial"/>
          <w:color w:val="auto"/>
          <w:sz w:val="21"/>
          <w:szCs w:val="21"/>
          <w:lang w:val="cs-CZ" w:eastAsia="zh-HK"/>
        </w:rPr>
        <w:t xml:space="preserve">Ve Velké Británii s tím, jak </w:t>
      </w:r>
      <w:proofErr w:type="spellStart"/>
      <w:r>
        <w:rPr>
          <w:rFonts w:cs="Arial"/>
          <w:color w:val="auto"/>
          <w:sz w:val="21"/>
          <w:szCs w:val="21"/>
          <w:lang w:val="cs-CZ" w:eastAsia="zh-HK"/>
        </w:rPr>
        <w:t>Brexit</w:t>
      </w:r>
      <w:proofErr w:type="spellEnd"/>
      <w:r>
        <w:rPr>
          <w:rFonts w:cs="Arial"/>
          <w:color w:val="auto"/>
          <w:sz w:val="21"/>
          <w:szCs w:val="21"/>
          <w:lang w:val="cs-CZ" w:eastAsia="zh-HK"/>
        </w:rPr>
        <w:t xml:space="preserve"> podkopává tržní sentiment, jsou </w:t>
      </w:r>
      <w:proofErr w:type="spellStart"/>
      <w:r>
        <w:rPr>
          <w:rFonts w:cs="Arial"/>
          <w:color w:val="auto"/>
          <w:sz w:val="21"/>
          <w:szCs w:val="21"/>
          <w:lang w:val="cs-CZ" w:eastAsia="zh-HK"/>
        </w:rPr>
        <w:t>spready</w:t>
      </w:r>
      <w:proofErr w:type="spellEnd"/>
      <w:r>
        <w:rPr>
          <w:rFonts w:cs="Arial"/>
          <w:color w:val="auto"/>
          <w:sz w:val="21"/>
          <w:szCs w:val="21"/>
          <w:lang w:val="cs-CZ" w:eastAsia="zh-HK"/>
        </w:rPr>
        <w:t xml:space="preserve"> od pohledu levné na 150 bazických bodech. Nicméně váhání a komplikace při vyjednávání o </w:t>
      </w:r>
      <w:proofErr w:type="spellStart"/>
      <w:r>
        <w:rPr>
          <w:rFonts w:cs="Arial"/>
          <w:color w:val="auto"/>
          <w:sz w:val="21"/>
          <w:szCs w:val="21"/>
          <w:lang w:val="cs-CZ" w:eastAsia="zh-HK"/>
        </w:rPr>
        <w:t>Brexitu</w:t>
      </w:r>
      <w:proofErr w:type="spellEnd"/>
      <w:r>
        <w:rPr>
          <w:rFonts w:cs="Arial"/>
          <w:color w:val="auto"/>
          <w:sz w:val="21"/>
          <w:szCs w:val="21"/>
          <w:lang w:val="cs-CZ" w:eastAsia="zh-HK"/>
        </w:rPr>
        <w:t xml:space="preserve"> vytváří příležitosti a </w:t>
      </w:r>
      <w:proofErr w:type="spellStart"/>
      <w:r>
        <w:rPr>
          <w:rFonts w:cs="Arial"/>
          <w:color w:val="auto"/>
          <w:sz w:val="21"/>
          <w:szCs w:val="21"/>
          <w:lang w:val="cs-CZ" w:eastAsia="zh-HK"/>
        </w:rPr>
        <w:t>Fidelity</w:t>
      </w:r>
      <w:proofErr w:type="spellEnd"/>
      <w:r>
        <w:rPr>
          <w:rFonts w:cs="Arial"/>
          <w:color w:val="auto"/>
          <w:sz w:val="21"/>
          <w:szCs w:val="21"/>
          <w:lang w:val="cs-CZ" w:eastAsia="zh-HK"/>
        </w:rPr>
        <w:t xml:space="preserve"> International je podle </w:t>
      </w:r>
      <w:proofErr w:type="spellStart"/>
      <w:r>
        <w:rPr>
          <w:rFonts w:cs="Arial"/>
          <w:color w:val="auto"/>
          <w:sz w:val="21"/>
          <w:szCs w:val="21"/>
          <w:lang w:val="cs-CZ" w:eastAsia="zh-HK"/>
        </w:rPr>
        <w:t>Iannelliho</w:t>
      </w:r>
      <w:proofErr w:type="spellEnd"/>
      <w:r>
        <w:rPr>
          <w:rFonts w:cs="Arial"/>
          <w:color w:val="auto"/>
          <w:sz w:val="21"/>
          <w:szCs w:val="21"/>
          <w:lang w:val="cs-CZ" w:eastAsia="zh-HK"/>
        </w:rPr>
        <w:t xml:space="preserve"> na tomto trhu opatrná. </w:t>
      </w:r>
    </w:p>
    <w:p w:rsidR="003A5842" w:rsidRDefault="003A5842" w:rsidP="003A5842">
      <w:pPr>
        <w:pStyle w:val="MonthlyBodyText"/>
        <w:spacing w:before="0" w:line="360" w:lineRule="auto"/>
        <w:jc w:val="both"/>
        <w:rPr>
          <w:color w:val="auto"/>
          <w:sz w:val="21"/>
          <w:szCs w:val="21"/>
          <w:lang w:val="cs-CZ"/>
        </w:rPr>
      </w:pPr>
    </w:p>
    <w:p w:rsidR="003A5842" w:rsidRDefault="003A5842" w:rsidP="003A5842">
      <w:pPr>
        <w:pStyle w:val="MonthlyBodyText"/>
        <w:spacing w:before="0" w:line="360" w:lineRule="auto"/>
        <w:jc w:val="both"/>
        <w:rPr>
          <w:b/>
          <w:color w:val="auto"/>
          <w:sz w:val="21"/>
          <w:szCs w:val="21"/>
          <w:lang w:val="cs-CZ"/>
        </w:rPr>
      </w:pPr>
      <w:r>
        <w:rPr>
          <w:b/>
          <w:color w:val="auto"/>
          <w:sz w:val="21"/>
          <w:szCs w:val="21"/>
          <w:lang w:val="cs-CZ"/>
        </w:rPr>
        <w:lastRenderedPageBreak/>
        <w:t>Spojené státy americké</w:t>
      </w:r>
    </w:p>
    <w:p w:rsidR="003A5842" w:rsidRDefault="003A5842" w:rsidP="003A5842">
      <w:pPr>
        <w:pStyle w:val="MonthlyBodyText"/>
        <w:spacing w:before="0" w:line="360" w:lineRule="auto"/>
        <w:jc w:val="both"/>
      </w:pPr>
      <w:r>
        <w:rPr>
          <w:i/>
          <w:color w:val="auto"/>
          <w:sz w:val="21"/>
          <w:szCs w:val="21"/>
          <w:lang w:val="cs-CZ"/>
        </w:rPr>
        <w:t>„Ve Spojených státech amerických byla výsledková sezóna většinou pozitivní, ale zdůraznila pomalejší tempo růstu příjmů. Očekáváme, že fundamenty se v následujících dvanácti měsících zhorší s tím, jak americký růst zpomalí a ziskové marže budou čelit tlaku mezd, silnému dolaru a novým clům</w:t>
      </w:r>
      <w:r>
        <w:rPr>
          <w:color w:val="auto"/>
          <w:sz w:val="21"/>
          <w:szCs w:val="21"/>
          <w:lang w:val="cs-CZ"/>
        </w:rPr>
        <w:t xml:space="preserve">,“ predikuje </w:t>
      </w:r>
      <w:r>
        <w:rPr>
          <w:rFonts w:cs="Arial"/>
          <w:color w:val="auto"/>
          <w:sz w:val="21"/>
          <w:szCs w:val="21"/>
          <w:lang w:val="cs-CZ"/>
        </w:rPr>
        <w:t xml:space="preserve">ředitel investic </w:t>
      </w:r>
      <w:proofErr w:type="spellStart"/>
      <w:r>
        <w:rPr>
          <w:rFonts w:cs="Arial"/>
          <w:color w:val="auto"/>
          <w:sz w:val="21"/>
          <w:szCs w:val="21"/>
          <w:lang w:val="cs-CZ"/>
        </w:rPr>
        <w:t>Fidelity</w:t>
      </w:r>
      <w:proofErr w:type="spellEnd"/>
      <w:r>
        <w:rPr>
          <w:rFonts w:cs="Arial"/>
          <w:color w:val="auto"/>
          <w:sz w:val="21"/>
          <w:szCs w:val="21"/>
          <w:lang w:val="cs-CZ"/>
        </w:rPr>
        <w:t xml:space="preserve"> </w:t>
      </w:r>
      <w:proofErr w:type="spellStart"/>
      <w:r>
        <w:rPr>
          <w:rFonts w:cs="Arial"/>
          <w:color w:val="auto"/>
          <w:sz w:val="21"/>
          <w:szCs w:val="21"/>
          <w:lang w:val="cs-CZ"/>
        </w:rPr>
        <w:t>Int</w:t>
      </w:r>
      <w:proofErr w:type="spellEnd"/>
      <w:r>
        <w:rPr>
          <w:rFonts w:cs="Arial"/>
          <w:color w:val="auto"/>
          <w:sz w:val="21"/>
          <w:szCs w:val="21"/>
          <w:lang w:val="cs-CZ"/>
        </w:rPr>
        <w:t xml:space="preserve">. Andrea </w:t>
      </w:r>
      <w:proofErr w:type="spellStart"/>
      <w:r>
        <w:rPr>
          <w:rFonts w:cs="Arial"/>
          <w:color w:val="auto"/>
          <w:sz w:val="21"/>
          <w:szCs w:val="21"/>
          <w:lang w:val="cs-CZ"/>
        </w:rPr>
        <w:t>Iannelli</w:t>
      </w:r>
      <w:proofErr w:type="spellEnd"/>
      <w:r>
        <w:rPr>
          <w:rFonts w:cs="Arial"/>
          <w:color w:val="auto"/>
          <w:sz w:val="21"/>
          <w:szCs w:val="21"/>
          <w:lang w:val="cs-CZ"/>
        </w:rPr>
        <w:t>.</w:t>
      </w:r>
    </w:p>
    <w:p w:rsidR="003A5842" w:rsidRDefault="003A5842" w:rsidP="003A5842">
      <w:pPr>
        <w:pStyle w:val="MonthlyBodyText"/>
        <w:spacing w:before="0" w:line="360" w:lineRule="auto"/>
        <w:jc w:val="both"/>
      </w:pPr>
      <w:r>
        <w:rPr>
          <w:color w:val="auto"/>
          <w:sz w:val="21"/>
          <w:szCs w:val="21"/>
          <w:lang w:val="cs-CZ"/>
        </w:rPr>
        <w:t xml:space="preserve">V roce 2018 se mnoho analytiků zaměřovalo na množství BBB-ratingů, rizika související s vyššími výnosy a širší trh s dluhopisy s investičním stupněm. GE zaznamenalo pád o dva stupně u ratingu S&amp;P na BBB+ a Anheuser-Busch </w:t>
      </w:r>
      <w:proofErr w:type="spellStart"/>
      <w:r>
        <w:rPr>
          <w:color w:val="auto"/>
          <w:sz w:val="21"/>
          <w:szCs w:val="21"/>
          <w:lang w:val="cs-CZ"/>
        </w:rPr>
        <w:t>InBev</w:t>
      </w:r>
      <w:proofErr w:type="spellEnd"/>
      <w:r>
        <w:rPr>
          <w:color w:val="auto"/>
          <w:sz w:val="21"/>
          <w:szCs w:val="21"/>
          <w:lang w:val="cs-CZ"/>
        </w:rPr>
        <w:t xml:space="preserve"> je sledován agenturou </w:t>
      </w:r>
      <w:proofErr w:type="spellStart"/>
      <w:r>
        <w:rPr>
          <w:color w:val="auto"/>
          <w:sz w:val="21"/>
          <w:szCs w:val="21"/>
          <w:lang w:val="cs-CZ"/>
        </w:rPr>
        <w:t>Moody’s</w:t>
      </w:r>
      <w:proofErr w:type="spellEnd"/>
      <w:r>
        <w:rPr>
          <w:color w:val="auto"/>
          <w:sz w:val="21"/>
          <w:szCs w:val="21"/>
          <w:lang w:val="cs-CZ"/>
        </w:rPr>
        <w:t xml:space="preserve"> s očekáváním na pokles ze současného A3. Tyto společnosti s velkým množstvím kapitálu tak mohou rozšířit množství společností s BBB. Někteří z rizikových emitentů působí celosvětově a je dobré připomenout, že v pozdním cyklu jsou rizika související s vysokým zadlužením více patrná na americkém trhu.</w:t>
      </w:r>
    </w:p>
    <w:p w:rsidR="003A5842" w:rsidRDefault="003A5842" w:rsidP="003A5842">
      <w:pPr>
        <w:pStyle w:val="MonthlyBodyText"/>
        <w:spacing w:before="0" w:line="360" w:lineRule="auto"/>
        <w:jc w:val="both"/>
        <w:rPr>
          <w:color w:val="auto"/>
          <w:sz w:val="21"/>
          <w:szCs w:val="21"/>
          <w:lang w:val="cs-CZ"/>
        </w:rPr>
      </w:pPr>
    </w:p>
    <w:p w:rsidR="003A5842" w:rsidRDefault="003A5842" w:rsidP="003A5842">
      <w:pPr>
        <w:pStyle w:val="MonthlyBodyText"/>
        <w:spacing w:before="0" w:line="360" w:lineRule="auto"/>
        <w:jc w:val="both"/>
        <w:rPr>
          <w:rFonts w:cs="Arial"/>
          <w:b/>
          <w:color w:val="auto"/>
          <w:sz w:val="21"/>
          <w:szCs w:val="21"/>
          <w:lang w:val="cs-CZ"/>
        </w:rPr>
      </w:pPr>
      <w:r>
        <w:rPr>
          <w:rFonts w:cs="Arial"/>
          <w:b/>
          <w:color w:val="auto"/>
          <w:sz w:val="21"/>
          <w:szCs w:val="21"/>
          <w:lang w:val="cs-CZ"/>
        </w:rPr>
        <w:t>Asie</w:t>
      </w:r>
    </w:p>
    <w:p w:rsidR="003A5842" w:rsidRDefault="003A5842" w:rsidP="003A5842">
      <w:pPr>
        <w:pStyle w:val="MonthlyBodyText"/>
        <w:spacing w:before="0" w:line="360" w:lineRule="auto"/>
        <w:jc w:val="both"/>
      </w:pPr>
      <w:r>
        <w:rPr>
          <w:color w:val="auto"/>
          <w:sz w:val="21"/>
          <w:szCs w:val="21"/>
          <w:lang w:val="cs-CZ"/>
        </w:rPr>
        <w:t>„</w:t>
      </w:r>
      <w:r>
        <w:rPr>
          <w:i/>
          <w:color w:val="auto"/>
          <w:sz w:val="21"/>
          <w:szCs w:val="21"/>
          <w:lang w:val="cs-CZ"/>
        </w:rPr>
        <w:t xml:space="preserve">Slabá ekonomická data v Číně a asijské akciové trhy držely asijské kreditní trhy na opatrných úrovních, vyvažovaných zejména technologickými a nemovitostními sektory. Se </w:t>
      </w:r>
      <w:proofErr w:type="spellStart"/>
      <w:r>
        <w:rPr>
          <w:i/>
          <w:color w:val="auto"/>
          <w:sz w:val="21"/>
          <w:szCs w:val="21"/>
          <w:lang w:val="cs-CZ"/>
        </w:rPr>
        <w:t>spready</w:t>
      </w:r>
      <w:proofErr w:type="spellEnd"/>
      <w:r>
        <w:rPr>
          <w:i/>
          <w:color w:val="auto"/>
          <w:sz w:val="21"/>
          <w:szCs w:val="21"/>
          <w:lang w:val="cs-CZ"/>
        </w:rPr>
        <w:t xml:space="preserve">, které překračovaly 150 bazických bodů a trendy snažícími se o oddlužení, zastáváme konstruktivní postoj, co se týče asijských dluhopisů s investičním stupněm. </w:t>
      </w:r>
    </w:p>
    <w:p w:rsidR="003A5842" w:rsidRDefault="003A5842" w:rsidP="003A5842">
      <w:pPr>
        <w:pStyle w:val="MonthlyBodyText"/>
        <w:spacing w:before="0" w:line="360" w:lineRule="auto"/>
        <w:jc w:val="both"/>
      </w:pPr>
      <w:r>
        <w:rPr>
          <w:i/>
          <w:color w:val="auto"/>
          <w:sz w:val="21"/>
          <w:szCs w:val="21"/>
          <w:lang w:val="cs-CZ"/>
        </w:rPr>
        <w:t>Náš názor je ještě podporován technologickými faktory. Potenciál pro pokračující politické stimuly podpoří asijské dluhopisy. Zaznamenáváme známky stabilizace v místní poptávce, zejména, co se týče asijských institucí, což je podpořeno umírněnými náklady na zajištění,</w:t>
      </w:r>
      <w:r>
        <w:rPr>
          <w:color w:val="auto"/>
          <w:sz w:val="21"/>
          <w:szCs w:val="21"/>
          <w:lang w:val="cs-CZ"/>
        </w:rPr>
        <w:t xml:space="preserve">“ shrnuje </w:t>
      </w:r>
      <w:r>
        <w:rPr>
          <w:rFonts w:cs="Arial"/>
          <w:color w:val="auto"/>
          <w:sz w:val="21"/>
          <w:szCs w:val="21"/>
          <w:lang w:val="cs-CZ"/>
        </w:rPr>
        <w:t xml:space="preserve">Andrea </w:t>
      </w:r>
      <w:proofErr w:type="spellStart"/>
      <w:r>
        <w:rPr>
          <w:rFonts w:cs="Arial"/>
          <w:color w:val="auto"/>
          <w:sz w:val="21"/>
          <w:szCs w:val="21"/>
          <w:lang w:val="cs-CZ"/>
        </w:rPr>
        <w:t>Iannelli</w:t>
      </w:r>
      <w:proofErr w:type="spellEnd"/>
      <w:r>
        <w:rPr>
          <w:rFonts w:cs="Arial"/>
          <w:color w:val="auto"/>
          <w:sz w:val="21"/>
          <w:szCs w:val="21"/>
          <w:lang w:val="cs-CZ"/>
        </w:rPr>
        <w:t xml:space="preserve">, ředitel investic </w:t>
      </w:r>
      <w:proofErr w:type="spellStart"/>
      <w:r>
        <w:rPr>
          <w:rFonts w:cs="Arial"/>
          <w:color w:val="auto"/>
          <w:sz w:val="21"/>
          <w:szCs w:val="21"/>
          <w:lang w:val="cs-CZ"/>
        </w:rPr>
        <w:t>Fidelity</w:t>
      </w:r>
      <w:proofErr w:type="spellEnd"/>
      <w:r>
        <w:rPr>
          <w:rFonts w:cs="Arial"/>
          <w:color w:val="auto"/>
          <w:sz w:val="21"/>
          <w:szCs w:val="21"/>
          <w:lang w:val="cs-CZ"/>
        </w:rPr>
        <w:t xml:space="preserve"> International.</w:t>
      </w:r>
    </w:p>
    <w:p w:rsidR="00177EB8" w:rsidRDefault="00177EB8" w:rsidP="003A5842">
      <w:pPr>
        <w:pStyle w:val="F2-zkladn"/>
        <w:tabs>
          <w:tab w:val="right" w:pos="9070"/>
        </w:tabs>
        <w:rPr>
          <w:b/>
        </w:rPr>
      </w:pPr>
    </w:p>
    <w:p w:rsidR="00177EB8" w:rsidRPr="009C3DB4" w:rsidRDefault="00177EB8" w:rsidP="003A5842">
      <w:pPr>
        <w:pStyle w:val="F2-zkladn"/>
        <w:tabs>
          <w:tab w:val="right" w:pos="9070"/>
        </w:tabs>
        <w:outlineLvl w:val="0"/>
        <w:rPr>
          <w:b/>
        </w:rPr>
      </w:pPr>
      <w:r w:rsidRPr="009C3DB4">
        <w:rPr>
          <w:b/>
        </w:rPr>
        <w:t>Pro více informací kontaktujte:</w:t>
      </w:r>
    </w:p>
    <w:p w:rsidR="00177EB8" w:rsidRPr="009C3DB4" w:rsidRDefault="00177EB8" w:rsidP="003A5842">
      <w:pPr>
        <w:spacing w:before="0" w:line="360" w:lineRule="auto"/>
        <w:rPr>
          <w:b/>
        </w:rPr>
      </w:pPr>
    </w:p>
    <w:p w:rsidR="00177EB8" w:rsidRPr="009C3DB4" w:rsidRDefault="00177EB8" w:rsidP="003A5842">
      <w:pPr>
        <w:spacing w:before="0" w:line="360" w:lineRule="auto"/>
        <w:outlineLvl w:val="0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77EB8" w:rsidRPr="009C3DB4" w:rsidRDefault="00177EB8" w:rsidP="003A5842">
      <w:pPr>
        <w:spacing w:before="0" w:line="240" w:lineRule="atLeast"/>
        <w:outlineLvl w:val="0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:rsidR="00177EB8" w:rsidRPr="009C3DB4" w:rsidRDefault="00177EB8" w:rsidP="003A5842">
      <w:pPr>
        <w:spacing w:before="0" w:line="240" w:lineRule="atLeast"/>
      </w:pPr>
    </w:p>
    <w:p w:rsidR="00177EB8" w:rsidRPr="009C3DB4" w:rsidRDefault="00177EB8" w:rsidP="003A5842">
      <w:pPr>
        <w:spacing w:before="0" w:line="240" w:lineRule="atLeast"/>
        <w:outlineLvl w:val="0"/>
      </w:pPr>
      <w:r w:rsidRPr="009C3DB4">
        <w:t>Ostrovní 126/30</w:t>
      </w:r>
    </w:p>
    <w:p w:rsidR="00177EB8" w:rsidRPr="009C3DB4" w:rsidRDefault="00177EB8" w:rsidP="003A5842">
      <w:pPr>
        <w:spacing w:before="0" w:line="240" w:lineRule="atLeast"/>
      </w:pPr>
      <w:r w:rsidRPr="009C3DB4">
        <w:t>110 00 Praha 1</w:t>
      </w:r>
    </w:p>
    <w:p w:rsidR="00177EB8" w:rsidRPr="009C3DB4" w:rsidRDefault="00177EB8" w:rsidP="003A5842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8251BC" w:rsidRPr="008251BC" w:rsidRDefault="008251BC" w:rsidP="003A5842">
      <w:pPr>
        <w:spacing w:before="0" w:line="240" w:lineRule="atLeast"/>
        <w:rPr>
          <w:bCs/>
        </w:rPr>
      </w:pPr>
      <w:hyperlink r:id="rId8" w:history="1">
        <w:r w:rsidRPr="008251BC">
          <w:rPr>
            <w:rStyle w:val="Hypertextovodkaz"/>
            <w:rFonts w:cs="Arial"/>
            <w:bCs/>
          </w:rPr>
          <w:t>http://www.crestcom.cz/</w:t>
        </w:r>
      </w:hyperlink>
    </w:p>
    <w:p w:rsidR="00177EB8" w:rsidRPr="009C3DB4" w:rsidRDefault="00177EB8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:rsidR="00177EB8" w:rsidRDefault="00177EB8" w:rsidP="00E0115C">
      <w:pPr>
        <w:pStyle w:val="F2-zkladn"/>
        <w:outlineLvl w:val="0"/>
        <w:rPr>
          <w:b/>
        </w:rPr>
      </w:pPr>
      <w:r w:rsidRPr="009C3DB4">
        <w:rPr>
          <w:b/>
        </w:rPr>
        <w:t>Informace pro editory:</w:t>
      </w:r>
    </w:p>
    <w:p w:rsidR="00177EB8" w:rsidRPr="00645857" w:rsidRDefault="00177EB8" w:rsidP="00C16BE6">
      <w:pPr>
        <w:shd w:val="clear" w:color="auto" w:fill="FFFFFF"/>
        <w:spacing w:before="100" w:beforeAutospacing="1" w:after="100" w:afterAutospacing="1" w:line="240" w:lineRule="auto"/>
        <w:rPr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 xml:space="preserve">byla založena v roce </w:t>
      </w:r>
      <w:smartTag w:uri="urn:schemas-microsoft-com:office:smarttags" w:element="metricconverter">
        <w:smartTagPr>
          <w:attr w:name="ProductID" w:val="1969 a"/>
        </w:smartTagPr>
        <w:r w:rsidRPr="008F1A81">
          <w:rPr>
            <w:sz w:val="18"/>
          </w:rPr>
          <w:t>1969 a</w:t>
        </w:r>
      </w:smartTag>
      <w:r w:rsidRPr="008F1A81">
        <w:rPr>
          <w:sz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sz w:val="18"/>
          <w:lang w:eastAsia="en-US"/>
        </w:rPr>
        <w:t xml:space="preserve">České republice </w:t>
      </w:r>
      <w:proofErr w:type="spellStart"/>
      <w:r w:rsidRPr="00645857">
        <w:rPr>
          <w:sz w:val="18"/>
          <w:lang w:eastAsia="en-US"/>
        </w:rPr>
        <w:t>Fidelity</w:t>
      </w:r>
      <w:proofErr w:type="spellEnd"/>
      <w:r w:rsidRPr="00645857">
        <w:rPr>
          <w:sz w:val="18"/>
          <w:lang w:eastAsia="en-US"/>
        </w:rPr>
        <w:t xml:space="preserve"> působí od roku </w:t>
      </w:r>
      <w:smartTag w:uri="urn:schemas-microsoft-com:office:smarttags" w:element="metricconverter">
        <w:smartTagPr>
          <w:attr w:name="ProductID" w:val="2012 a"/>
        </w:smartTagPr>
        <w:r w:rsidRPr="00645857">
          <w:rPr>
            <w:sz w:val="18"/>
            <w:lang w:eastAsia="en-US"/>
          </w:rPr>
          <w:t>2012 a</w:t>
        </w:r>
      </w:smartTag>
      <w:r w:rsidRPr="00645857">
        <w:rPr>
          <w:sz w:val="18"/>
          <w:lang w:eastAsia="en-US"/>
        </w:rPr>
        <w:t xml:space="preserve"> mezi její klienty patří celá řada významných </w:t>
      </w:r>
      <w:r w:rsidRPr="00645857">
        <w:rPr>
          <w:sz w:val="18"/>
          <w:lang w:eastAsia="en-US"/>
        </w:rPr>
        <w:lastRenderedPageBreak/>
        <w:t xml:space="preserve">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177EB8" w:rsidRPr="00FA269B" w:rsidRDefault="00177EB8" w:rsidP="00E0115C">
      <w:pPr>
        <w:pStyle w:val="F2-zkladn"/>
        <w:outlineLvl w:val="0"/>
        <w:rPr>
          <w:b/>
        </w:rPr>
      </w:pPr>
      <w:r w:rsidRPr="00FA269B">
        <w:rPr>
          <w:b/>
        </w:rPr>
        <w:t>Upozornění na rizika</w:t>
      </w:r>
    </w:p>
    <w:p w:rsidR="00177EB8" w:rsidRPr="00FA269B" w:rsidRDefault="00177EB8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177EB8" w:rsidRDefault="00177EB8" w:rsidP="00E0115C">
      <w:pPr>
        <w:pStyle w:val="F2-zkladn"/>
        <w:spacing w:line="240" w:lineRule="auto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177EB8" w:rsidRPr="00FA269B" w:rsidRDefault="00177EB8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177EB8" w:rsidRPr="00FA269B" w:rsidRDefault="00177EB8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:rsidR="00177EB8" w:rsidRDefault="00177EB8" w:rsidP="00E0115C">
      <w:pPr>
        <w:pStyle w:val="F2-zkladn"/>
        <w:spacing w:line="240" w:lineRule="auto"/>
        <w:outlineLvl w:val="0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Vienna</w:t>
            </w:r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country-region">
            <w:r w:rsidRPr="00681745">
              <w:rPr>
                <w:color w:val="000000"/>
                <w:sz w:val="18"/>
                <w:szCs w:val="18"/>
                <w:lang w:val="en-US"/>
              </w:rPr>
              <w:t>Austria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de Berri</w:t>
            </w:r>
          </w:smartTag>
          <w:r w:rsidRPr="00681745">
            <w:rPr>
              <w:color w:val="000000"/>
              <w:sz w:val="18"/>
              <w:szCs w:val="18"/>
              <w:lang w:val="en-US"/>
            </w:rPr>
            <w:t xml:space="preserve">, </w:t>
          </w:r>
          <w:smartTag w:uri="urn:schemas-microsoft-com:office:smarttags" w:element="PostalCode">
            <w:r w:rsidRPr="00681745">
              <w:rPr>
                <w:color w:val="000000"/>
                <w:sz w:val="18"/>
                <w:szCs w:val="18"/>
                <w:lang w:val="en-US"/>
              </w:rPr>
              <w:t>75008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City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177EB8" w:rsidRPr="00681745" w:rsidRDefault="00177EB8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p w:rsidR="00177EB8" w:rsidRPr="00FA269B" w:rsidRDefault="00177EB8" w:rsidP="00C16BE6">
      <w:pPr>
        <w:pStyle w:val="F2-zkladn"/>
        <w:rPr>
          <w:sz w:val="18"/>
          <w:szCs w:val="18"/>
        </w:rPr>
      </w:pPr>
    </w:p>
    <w:sectPr w:rsidR="00177EB8" w:rsidRPr="00FA269B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CF" w:rsidRDefault="00AE7DCF">
      <w:r>
        <w:separator/>
      </w:r>
    </w:p>
  </w:endnote>
  <w:endnote w:type="continuationSeparator" w:id="0">
    <w:p w:rsidR="00AE7DCF" w:rsidRDefault="00AE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B8" w:rsidRPr="00585CC6" w:rsidRDefault="00177EB8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CF" w:rsidRDefault="00AE7DCF">
      <w:r>
        <w:separator/>
      </w:r>
    </w:p>
  </w:footnote>
  <w:footnote w:type="continuationSeparator" w:id="0">
    <w:p w:rsidR="00AE7DCF" w:rsidRDefault="00AE7DCF">
      <w:r>
        <w:continuationSeparator/>
      </w:r>
    </w:p>
  </w:footnote>
  <w:footnote w:type="continuationNotice" w:id="1">
    <w:p w:rsidR="00AE7DCF" w:rsidRDefault="00AE7D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B8" w:rsidRDefault="00177EB8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EB8" w:rsidRDefault="003A5842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EB8" w:rsidRDefault="00177EB8">
    <w:pPr>
      <w:pStyle w:val="Zhlav"/>
    </w:pPr>
  </w:p>
  <w:p w:rsidR="00177EB8" w:rsidRDefault="00177E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F-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64877BA"/>
    <w:multiLevelType w:val="multilevel"/>
    <w:tmpl w:val="05CCA26C"/>
    <w:lvl w:ilvl="0">
      <w:start w:val="1"/>
      <w:numFmt w:val="decimal"/>
      <w:lvlRestart w:val="0"/>
      <w:lvlText w:val="%1.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cs="Times New Roman" w:hint="default"/>
      </w:rPr>
    </w:lvl>
  </w:abstractNum>
  <w:abstractNum w:abstractNumId="13" w15:restartNumberingAfterBreak="0">
    <w:nsid w:val="17024E5B"/>
    <w:multiLevelType w:val="hybridMultilevel"/>
    <w:tmpl w:val="B214151A"/>
    <w:lvl w:ilvl="0" w:tplc="3F74A2F6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4060668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30FA3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8A0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F2E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7E9B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CE2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88E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A81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533CAC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55F70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6A09F1"/>
    <w:multiLevelType w:val="multilevel"/>
    <w:tmpl w:val="9EF81F8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5C029E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2" w15:restartNumberingAfterBreak="0">
    <w:nsid w:val="5FC015B7"/>
    <w:multiLevelType w:val="hybridMultilevel"/>
    <w:tmpl w:val="D40EC4D8"/>
    <w:lvl w:ilvl="0" w:tplc="70D2BF80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16E00E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0C0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B42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523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921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5C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57E9E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03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2"/>
  </w:num>
  <w:num w:numId="13">
    <w:abstractNumId w:val="24"/>
  </w:num>
  <w:num w:numId="14">
    <w:abstractNumId w:val="17"/>
  </w:num>
  <w:num w:numId="15">
    <w:abstractNumId w:val="18"/>
  </w:num>
  <w:num w:numId="16">
    <w:abstractNumId w:val="16"/>
  </w:num>
  <w:num w:numId="17">
    <w:abstractNumId w:val="23"/>
  </w:num>
  <w:num w:numId="18">
    <w:abstractNumId w:val="19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2"/>
  </w:num>
  <w:num w:numId="31">
    <w:abstractNumId w:val="21"/>
  </w:num>
  <w:num w:numId="32">
    <w:abstractNumId w:val="11"/>
  </w:num>
  <w:num w:numId="33">
    <w:abstractNumId w:val="14"/>
  </w:num>
  <w:num w:numId="34">
    <w:abstractNumId w:val="20"/>
  </w:num>
  <w:num w:numId="35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2FBE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7EB8"/>
    <w:rsid w:val="00183957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17932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5842"/>
    <w:rsid w:val="003A68DD"/>
    <w:rsid w:val="003A7DAF"/>
    <w:rsid w:val="003B5E15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D61E3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342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251BC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4803"/>
    <w:rsid w:val="00A061CA"/>
    <w:rsid w:val="00A06AAA"/>
    <w:rsid w:val="00A12F23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E7DCF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B4E12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448A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115C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F7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87D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D20770C-1D96-4C70-9164-DB179E1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4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5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6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6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6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6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6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link w:val="Nadpis1"/>
    <w:uiPriority w:val="9"/>
    <w:rsid w:val="00B336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link w:val="Nadpis2"/>
    <w:uiPriority w:val="99"/>
    <w:rsid w:val="00B3368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link w:val="Nadpis3"/>
    <w:uiPriority w:val="99"/>
    <w:rsid w:val="00B3368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B336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336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B3368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B3368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B3368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33682"/>
    <w:rPr>
      <w:rFonts w:ascii="Cambria" w:eastAsia="Times New Roman" w:hAnsi="Cambria" w:cs="Times New Roman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2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1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1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2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3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B33682"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uiPriority w:val="99"/>
    <w:semiHidden/>
    <w:rsid w:val="00794E4C"/>
    <w:rPr>
      <w:rFonts w:cs="Times New Roman"/>
      <w:i/>
    </w:rPr>
  </w:style>
  <w:style w:type="character" w:styleId="slodku">
    <w:name w:val="line number"/>
    <w:uiPriority w:val="99"/>
    <w:semiHidden/>
    <w:rsid w:val="00794E4C"/>
    <w:rPr>
      <w:rFonts w:cs="Times New Roman"/>
    </w:rPr>
  </w:style>
  <w:style w:type="character" w:styleId="slostrnky">
    <w:name w:val="page number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19"/>
      </w:numPr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20"/>
      </w:numPr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21"/>
      </w:numPr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22"/>
      </w:numPr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23"/>
      </w:numPr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link w:val="Datum"/>
    <w:uiPriority w:val="99"/>
    <w:semiHidden/>
    <w:rsid w:val="00B33682"/>
    <w:rPr>
      <w:rFonts w:ascii="Arial" w:hAnsi="Arial" w:cs="Arial"/>
      <w:sz w:val="20"/>
      <w:szCs w:val="20"/>
    </w:rPr>
  </w:style>
  <w:style w:type="character" w:styleId="DefiniceHTML">
    <w:name w:val="HTML Definition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link w:val="Nadpispoznmky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336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link w:val="Osloven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link w:val="Podpis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link w:val="Podpise-mailu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uiPriority w:val="11"/>
    <w:rsid w:val="00B33682"/>
    <w:rPr>
      <w:rFonts w:ascii="Cambria" w:eastAsia="Times New Roman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rsid w:val="00B33682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26"/>
      </w:numPr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27"/>
      </w:numPr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28"/>
      </w:numPr>
    </w:pPr>
  </w:style>
  <w:style w:type="paragraph" w:styleId="Seznamsodrkami5">
    <w:name w:val="List Bullet 5"/>
    <w:basedOn w:val="Normln"/>
    <w:uiPriority w:val="99"/>
    <w:semiHidden/>
    <w:rsid w:val="00794E4C"/>
    <w:pPr>
      <w:numPr>
        <w:numId w:val="29"/>
      </w:numPr>
    </w:pPr>
  </w:style>
  <w:style w:type="character" w:styleId="Siln">
    <w:name w:val="Strong"/>
    <w:uiPriority w:val="99"/>
    <w:qFormat/>
    <w:rsid w:val="00794E4C"/>
    <w:rPr>
      <w:rFonts w:cs="Times New Roman"/>
      <w:b/>
    </w:rPr>
  </w:style>
  <w:style w:type="character" w:styleId="Sledovanodkaz">
    <w:name w:val="FollowedHyperlink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uiPriority w:val="99"/>
    <w:semiHidden/>
    <w:rsid w:val="00B3368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B33682"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33682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link w:val="Zvr"/>
    <w:uiPriority w:val="99"/>
    <w:semiHidden/>
    <w:rsid w:val="00B33682"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6"/>
      </w:numPr>
      <w:tabs>
        <w:tab w:val="clear" w:pos="360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link w:val="Textpoznpodarou"/>
    <w:uiPriority w:val="99"/>
    <w:semiHidden/>
    <w:rsid w:val="00B33682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839BA"/>
    <w:rPr>
      <w:rFonts w:ascii="Arial" w:hAnsi="Arial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E0115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B33682"/>
    <w:rPr>
      <w:sz w:val="0"/>
      <w:szCs w:val="0"/>
    </w:rPr>
  </w:style>
  <w:style w:type="numbering" w:styleId="lnekoddl">
    <w:name w:val="Outline List 3"/>
    <w:basedOn w:val="Bezseznamu"/>
    <w:uiPriority w:val="99"/>
    <w:semiHidden/>
    <w:unhideWhenUsed/>
    <w:rsid w:val="00B33682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B33682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rsid w:val="00B33682"/>
    <w:pPr>
      <w:numPr>
        <w:numId w:val="17"/>
      </w:numPr>
    </w:pPr>
  </w:style>
  <w:style w:type="paragraph" w:customStyle="1" w:styleId="MonthlyBodyText">
    <w:name w:val="Monthly Body Text"/>
    <w:basedOn w:val="Normln"/>
    <w:rsid w:val="003A5842"/>
    <w:pPr>
      <w:suppressAutoHyphens/>
      <w:autoSpaceDN w:val="0"/>
      <w:spacing w:before="60" w:line="300" w:lineRule="auto"/>
      <w:jc w:val="left"/>
      <w:textAlignment w:val="baseline"/>
    </w:pPr>
    <w:rPr>
      <w:rFonts w:cs="Times New Roman"/>
      <w:color w:val="555555"/>
      <w:sz w:val="16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Markéta Damková</cp:lastModifiedBy>
  <cp:revision>3</cp:revision>
  <cp:lastPrinted>2015-11-30T17:29:00Z</cp:lastPrinted>
  <dcterms:created xsi:type="dcterms:W3CDTF">2018-11-21T12:45:00Z</dcterms:created>
  <dcterms:modified xsi:type="dcterms:W3CDTF">2018-11-21T12:45:00Z</dcterms:modified>
</cp:coreProperties>
</file>